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394F50" w14:textId="0D78C625" w:rsidR="000C794A" w:rsidRPr="00C67DA4" w:rsidRDefault="000C794A" w:rsidP="000C794A">
      <w:pPr>
        <w:tabs>
          <w:tab w:val="center" w:pos="4536"/>
          <w:tab w:val="right" w:pos="8280"/>
          <w:tab w:val="right" w:pos="9639"/>
        </w:tabs>
        <w:ind w:right="2"/>
        <w:rPr>
          <w:rFonts w:ascii="Arial" w:hAnsi="Arial" w:cs="Arial"/>
          <w:b/>
          <w:bCs/>
        </w:rPr>
      </w:pPr>
      <w:r w:rsidRPr="00C67DA4">
        <w:rPr>
          <w:rFonts w:ascii="Arial" w:hAnsi="Arial" w:cs="Arial"/>
          <w:b/>
          <w:bCs/>
        </w:rPr>
        <w:t>3GPP TSG RAN WG1 #104b-e</w:t>
      </w:r>
      <w:r w:rsidRPr="00C67DA4">
        <w:rPr>
          <w:rFonts w:ascii="Arial" w:hAnsi="Arial" w:cs="Arial"/>
          <w:b/>
          <w:bCs/>
        </w:rPr>
        <w:tab/>
      </w:r>
      <w:r w:rsidRPr="00C67DA4">
        <w:rPr>
          <w:rFonts w:ascii="Arial" w:hAnsi="Arial" w:cs="Arial"/>
          <w:b/>
          <w:bCs/>
        </w:rPr>
        <w:tab/>
      </w:r>
      <w:r w:rsidRPr="00C67DA4">
        <w:rPr>
          <w:rFonts w:ascii="Arial" w:hAnsi="Arial" w:cs="Arial"/>
          <w:b/>
          <w:bCs/>
        </w:rPr>
        <w:tab/>
      </w:r>
      <w:r w:rsidRPr="001F0F8F">
        <w:rPr>
          <w:rFonts w:ascii="Arial" w:hAnsi="Arial" w:cs="Arial"/>
          <w:b/>
          <w:bCs/>
        </w:rPr>
        <w:t>R1-21</w:t>
      </w:r>
      <w:r w:rsidRPr="001F0F8F">
        <w:rPr>
          <w:rFonts w:ascii="Arial" w:hAnsi="Arial" w:cs="Arial"/>
          <w:b/>
          <w:bCs/>
          <w:lang w:val="en-US"/>
        </w:rPr>
        <w:t>031</w:t>
      </w:r>
      <w:r>
        <w:rPr>
          <w:rFonts w:ascii="Arial" w:hAnsi="Arial" w:cs="Arial"/>
          <w:b/>
          <w:bCs/>
          <w:lang w:val="en-US"/>
        </w:rPr>
        <w:t>2</w:t>
      </w:r>
      <w:r>
        <w:rPr>
          <w:rFonts w:ascii="Arial" w:hAnsi="Arial" w:cs="Arial"/>
          <w:b/>
          <w:bCs/>
          <w:lang w:val="en-US"/>
        </w:rPr>
        <w:t>5</w:t>
      </w:r>
    </w:p>
    <w:p w14:paraId="26A4B3DD" w14:textId="77777777" w:rsidR="000C794A" w:rsidRPr="00C67DA4" w:rsidRDefault="000C794A" w:rsidP="000C794A">
      <w:pPr>
        <w:tabs>
          <w:tab w:val="center" w:pos="4536"/>
          <w:tab w:val="right" w:pos="9072"/>
        </w:tabs>
        <w:rPr>
          <w:rFonts w:ascii="Arial" w:eastAsia="MS Mincho" w:hAnsi="Arial" w:cs="Arial"/>
          <w:b/>
          <w:bCs/>
          <w:lang w:eastAsia="ja-JP"/>
        </w:rPr>
      </w:pPr>
      <w:r w:rsidRPr="00C67DA4">
        <w:rPr>
          <w:rFonts w:ascii="Arial" w:eastAsia="MS Mincho" w:hAnsi="Arial" w:cs="Arial"/>
          <w:b/>
          <w:bCs/>
          <w:lang w:eastAsia="ja-JP"/>
        </w:rPr>
        <w:t>e-Meeting, April 12</w:t>
      </w:r>
      <w:r w:rsidRPr="00C67DA4">
        <w:rPr>
          <w:rFonts w:ascii="Arial" w:eastAsia="MS Mincho" w:hAnsi="Arial" w:cs="Arial"/>
          <w:b/>
          <w:bCs/>
          <w:vertAlign w:val="superscript"/>
          <w:lang w:eastAsia="ja-JP"/>
        </w:rPr>
        <w:t>th</w:t>
      </w:r>
      <w:r w:rsidRPr="00C67DA4">
        <w:rPr>
          <w:rFonts w:ascii="Arial" w:eastAsia="MS Mincho" w:hAnsi="Arial" w:cs="Arial"/>
          <w:b/>
          <w:bCs/>
          <w:lang w:eastAsia="ja-JP"/>
        </w:rPr>
        <w:t xml:space="preserve"> – 20</w:t>
      </w:r>
      <w:r w:rsidRPr="00C67DA4">
        <w:rPr>
          <w:rFonts w:ascii="Arial" w:eastAsia="MS Mincho" w:hAnsi="Arial" w:cs="Arial"/>
          <w:b/>
          <w:bCs/>
          <w:vertAlign w:val="superscript"/>
          <w:lang w:eastAsia="ja-JP"/>
        </w:rPr>
        <w:t>th</w:t>
      </w:r>
      <w:r w:rsidRPr="00C67DA4">
        <w:rPr>
          <w:rFonts w:ascii="Arial" w:eastAsia="MS Mincho" w:hAnsi="Arial" w:cs="Arial"/>
          <w:b/>
          <w:bCs/>
          <w:lang w:eastAsia="ja-JP"/>
        </w:rPr>
        <w:t>, 2021</w:t>
      </w:r>
    </w:p>
    <w:p w14:paraId="16A358E8" w14:textId="77777777" w:rsidR="008C2DC1" w:rsidRPr="009A4868" w:rsidRDefault="008C2DC1" w:rsidP="008C2DC1">
      <w:pPr>
        <w:tabs>
          <w:tab w:val="left" w:pos="1985"/>
        </w:tabs>
        <w:jc w:val="both"/>
        <w:rPr>
          <w:rFonts w:ascii="Arial" w:hAnsi="Arial" w:cs="Arial"/>
          <w:highlight w:val="yellow"/>
        </w:rPr>
      </w:pPr>
    </w:p>
    <w:p w14:paraId="74071BAA" w14:textId="7EC4F568" w:rsidR="0025389B" w:rsidRPr="005F4944" w:rsidRDefault="0025389B" w:rsidP="0025389B">
      <w:pPr>
        <w:tabs>
          <w:tab w:val="left" w:pos="1985"/>
        </w:tabs>
        <w:ind w:left="1983" w:hangingChars="823" w:hanging="1983"/>
        <w:rPr>
          <w:rFonts w:ascii="Arial" w:hAnsi="Arial" w:cs="Arial"/>
          <w:b/>
          <w:lang w:val="en-US"/>
        </w:rPr>
      </w:pPr>
      <w:r w:rsidRPr="00152053">
        <w:rPr>
          <w:rFonts w:ascii="Arial" w:hAnsi="Arial" w:cs="Arial"/>
          <w:b/>
        </w:rPr>
        <w:t>Agenda item:</w:t>
      </w:r>
      <w:r w:rsidRPr="00152053">
        <w:rPr>
          <w:rFonts w:ascii="Arial" w:hAnsi="Arial" w:cs="Arial"/>
          <w:b/>
        </w:rPr>
        <w:tab/>
      </w:r>
      <w:bookmarkStart w:id="0" w:name="Source"/>
      <w:bookmarkEnd w:id="0"/>
      <w:r w:rsidR="008618C9">
        <w:rPr>
          <w:rFonts w:ascii="Arial" w:hAnsi="Arial" w:cs="Arial"/>
          <w:b/>
          <w:lang w:val="en-US"/>
        </w:rPr>
        <w:t>8</w:t>
      </w:r>
      <w:r>
        <w:rPr>
          <w:rFonts w:ascii="Arial" w:hAnsi="Arial" w:cs="Arial"/>
          <w:b/>
        </w:rPr>
        <w:t>.</w:t>
      </w:r>
      <w:r w:rsidR="00806F8F">
        <w:rPr>
          <w:rFonts w:ascii="Arial" w:hAnsi="Arial" w:cs="Arial"/>
          <w:b/>
          <w:lang w:val="en-US"/>
        </w:rPr>
        <w:t>1</w:t>
      </w:r>
      <w:r w:rsidR="002359E6">
        <w:rPr>
          <w:rFonts w:ascii="Arial" w:hAnsi="Arial" w:cs="Arial"/>
          <w:b/>
          <w:lang w:val="en-US"/>
        </w:rPr>
        <w:t>2</w:t>
      </w:r>
      <w:r>
        <w:rPr>
          <w:rFonts w:ascii="Arial" w:hAnsi="Arial" w:cs="Arial"/>
          <w:b/>
        </w:rPr>
        <w:t>.</w:t>
      </w:r>
      <w:r w:rsidR="001075F0">
        <w:rPr>
          <w:rFonts w:ascii="Arial" w:hAnsi="Arial" w:cs="Arial"/>
          <w:b/>
          <w:lang w:val="en-US"/>
        </w:rPr>
        <w:t>2</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7A3AF83E" w14:textId="77777777" w:rsidR="00EA32C7" w:rsidRDefault="0025389B" w:rsidP="00EA32C7">
      <w:pPr>
        <w:spacing w:after="60"/>
        <w:ind w:left="1985" w:hanging="1985"/>
        <w:rPr>
          <w:rFonts w:ascii="Arial" w:hAnsi="Arial" w:cs="Arial"/>
          <w:b/>
          <w:lang w:val="en-US"/>
        </w:rPr>
      </w:pPr>
      <w:r w:rsidRPr="008F6D5B">
        <w:rPr>
          <w:rFonts w:ascii="Arial" w:hAnsi="Arial" w:cs="Arial"/>
          <w:b/>
        </w:rPr>
        <w:t>Title:</w:t>
      </w:r>
      <w:r w:rsidRPr="008F6D5B">
        <w:rPr>
          <w:rFonts w:ascii="Arial" w:hAnsi="Arial" w:cs="Arial"/>
          <w:b/>
        </w:rPr>
        <w:tab/>
      </w:r>
      <w:r w:rsidR="001075F0" w:rsidRPr="001075F0">
        <w:rPr>
          <w:rFonts w:ascii="Arial" w:hAnsi="Arial" w:cs="Arial"/>
          <w:b/>
          <w:lang w:val="en-US"/>
        </w:rPr>
        <w:t>Discussion on MBS reliability improvement for RRC_</w:t>
      </w:r>
      <w:r w:rsidR="00954DF8">
        <w:rPr>
          <w:rFonts w:ascii="Arial" w:hAnsi="Arial" w:cs="Arial"/>
          <w:b/>
          <w:lang w:val="en-US"/>
        </w:rPr>
        <w:t>CONNECTED</w:t>
      </w:r>
      <w:r w:rsidR="001075F0" w:rsidRPr="001075F0">
        <w:rPr>
          <w:rFonts w:ascii="Arial" w:hAnsi="Arial" w:cs="Arial"/>
          <w:b/>
          <w:lang w:val="en-US"/>
        </w:rPr>
        <w:t xml:space="preserve"> UEs</w:t>
      </w:r>
    </w:p>
    <w:p w14:paraId="258C8BD2" w14:textId="4F0E43D0" w:rsidR="0025389B" w:rsidRPr="004C132F" w:rsidRDefault="0025389B" w:rsidP="00EA32C7">
      <w:pPr>
        <w:spacing w:after="60"/>
        <w:ind w:left="1985" w:hanging="1985"/>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983D22">
        <w:rPr>
          <w:rFonts w:ascii="Arial" w:hAnsi="Arial" w:cs="Arial"/>
          <w:b/>
          <w:lang w:val="en-US"/>
        </w:rPr>
        <w:t>Discussion/</w:t>
      </w:r>
      <w:r>
        <w:rPr>
          <w:rFonts w:ascii="Arial" w:hAnsi="Arial" w:cs="Arial"/>
          <w:b/>
        </w:rPr>
        <w:t>Decision</w:t>
      </w:r>
    </w:p>
    <w:p w14:paraId="546CFCCA" w14:textId="77777777" w:rsidR="0025389B" w:rsidRPr="00487A13" w:rsidRDefault="0025389B" w:rsidP="0025389B">
      <w:pPr>
        <w:pStyle w:val="Heading1"/>
      </w:pPr>
      <w:r>
        <w:t>Introduction</w:t>
      </w:r>
    </w:p>
    <w:p w14:paraId="742AC18C" w14:textId="4DDD6F1B" w:rsidR="0025389B" w:rsidRDefault="0025389B" w:rsidP="0025389B">
      <w:pPr>
        <w:spacing w:after="120"/>
        <w:rPr>
          <w:color w:val="000000" w:themeColor="text1"/>
          <w:sz w:val="20"/>
          <w:szCs w:val="20"/>
          <w:lang w:val="en-US"/>
        </w:rPr>
      </w:pPr>
      <w:r>
        <w:rPr>
          <w:rFonts w:hint="eastAsia"/>
          <w:color w:val="000000" w:themeColor="text1"/>
          <w:sz w:val="20"/>
          <w:szCs w:val="20"/>
        </w:rPr>
        <w:t>In</w:t>
      </w:r>
      <w:r>
        <w:rPr>
          <w:color w:val="000000" w:themeColor="text1"/>
          <w:sz w:val="20"/>
          <w:szCs w:val="20"/>
        </w:rPr>
        <w:t xml:space="preserve"> </w:t>
      </w:r>
      <w:r w:rsidR="008618C9">
        <w:rPr>
          <w:color w:val="000000" w:themeColor="text1"/>
          <w:sz w:val="20"/>
          <w:szCs w:val="20"/>
          <w:lang w:val="en-US"/>
        </w:rPr>
        <w:t xml:space="preserve">RAN#86 meeting, new </w:t>
      </w:r>
      <w:r w:rsidR="00FD71ED">
        <w:rPr>
          <w:color w:val="000000" w:themeColor="text1"/>
          <w:sz w:val="20"/>
          <w:szCs w:val="20"/>
          <w:lang w:val="en-US"/>
        </w:rPr>
        <w:t>work</w:t>
      </w:r>
      <w:r w:rsidR="008618C9">
        <w:rPr>
          <w:color w:val="000000" w:themeColor="text1"/>
          <w:sz w:val="20"/>
          <w:szCs w:val="20"/>
          <w:lang w:val="en-US"/>
        </w:rPr>
        <w:t xml:space="preserve"> item on </w:t>
      </w:r>
      <w:r w:rsidR="00FD71ED" w:rsidRPr="00FD71ED">
        <w:rPr>
          <w:color w:val="000000" w:themeColor="text1"/>
          <w:sz w:val="20"/>
          <w:szCs w:val="20"/>
          <w:lang w:val="en-GB"/>
        </w:rPr>
        <w:t>NR Multicast and Broadcast Services</w:t>
      </w:r>
      <w:r w:rsidR="00FD71ED" w:rsidRPr="00FD71ED">
        <w:rPr>
          <w:color w:val="000000" w:themeColor="text1"/>
          <w:sz w:val="20"/>
          <w:szCs w:val="20"/>
          <w:lang w:val="en-US"/>
        </w:rPr>
        <w:t xml:space="preserve"> </w:t>
      </w:r>
      <w:r w:rsidR="00C66594">
        <w:rPr>
          <w:color w:val="000000" w:themeColor="text1"/>
          <w:sz w:val="20"/>
          <w:szCs w:val="20"/>
          <w:lang w:val="en-US"/>
        </w:rPr>
        <w:t>[1]</w:t>
      </w:r>
      <w:r w:rsidR="008618C9">
        <w:rPr>
          <w:color w:val="000000" w:themeColor="text1"/>
          <w:sz w:val="20"/>
          <w:szCs w:val="20"/>
          <w:lang w:val="en-US"/>
        </w:rPr>
        <w:t xml:space="preserve"> was agreed. </w:t>
      </w:r>
      <w:r w:rsidR="00C66594">
        <w:rPr>
          <w:color w:val="000000" w:themeColor="text1"/>
          <w:sz w:val="20"/>
          <w:szCs w:val="20"/>
          <w:lang w:val="en-US"/>
        </w:rPr>
        <w:t>Some of objectives of this study item are showing below,</w:t>
      </w:r>
    </w:p>
    <w:p w14:paraId="687B0343" w14:textId="77777777" w:rsidR="00FD71ED" w:rsidRPr="00FD71ED" w:rsidRDefault="00FD71ED" w:rsidP="00DB2193">
      <w:pPr>
        <w:numPr>
          <w:ilvl w:val="0"/>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Specify RAN basic functions for broadcast/multicast for UEs in RRC_CONNECTED state [RAN1, RAN2, RAN3]:</w:t>
      </w:r>
    </w:p>
    <w:p w14:paraId="5239019F" w14:textId="77777777" w:rsidR="00FD71ED" w:rsidRPr="00FD71ED" w:rsidRDefault="00FD71ED" w:rsidP="00DB2193">
      <w:pPr>
        <w:numPr>
          <w:ilvl w:val="1"/>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Specify a group scheduling mechanism to allow UEs to receive Broadcast/Multicast service [RAN1, RAN2]</w:t>
      </w:r>
    </w:p>
    <w:p w14:paraId="70001A42" w14:textId="77777777" w:rsidR="00FD71ED" w:rsidRPr="00FD71ED" w:rsidRDefault="00FD71ED" w:rsidP="00DB2193">
      <w:pPr>
        <w:numPr>
          <w:ilvl w:val="2"/>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This objective includes specifying necessary enhancements that are required to enable simultaneous operation with unicast reception.</w:t>
      </w:r>
    </w:p>
    <w:p w14:paraId="4EFC4C96" w14:textId="77777777" w:rsidR="00FD71ED" w:rsidRPr="00FD71ED" w:rsidRDefault="00FD71ED" w:rsidP="00DB2193">
      <w:pPr>
        <w:numPr>
          <w:ilvl w:val="1"/>
          <w:numId w:val="9"/>
        </w:numPr>
        <w:overflowPunct w:val="0"/>
        <w:autoSpaceDE w:val="0"/>
        <w:autoSpaceDN w:val="0"/>
        <w:spacing w:after="120"/>
        <w:rPr>
          <w:color w:val="000000"/>
          <w:sz w:val="20"/>
          <w:szCs w:val="20"/>
          <w:lang w:val="en-US"/>
        </w:rPr>
      </w:pPr>
      <w:r w:rsidRPr="00FD71ED">
        <w:rPr>
          <w:color w:val="000000"/>
          <w:sz w:val="20"/>
          <w:szCs w:val="20"/>
        </w:rPr>
        <w:t>Specify support for dynamic change of Broadcast/Multicast service delivery between multicast (PTM) and unicast (PTP) with service continuity for a given UE [RAN2, RAN3]</w:t>
      </w:r>
    </w:p>
    <w:p w14:paraId="40130503" w14:textId="77777777" w:rsidR="00FD71ED" w:rsidRPr="00FD71ED" w:rsidRDefault="00FD71ED" w:rsidP="00DB2193">
      <w:pPr>
        <w:numPr>
          <w:ilvl w:val="1"/>
          <w:numId w:val="9"/>
        </w:numPr>
        <w:overflowPunct w:val="0"/>
        <w:autoSpaceDE w:val="0"/>
        <w:autoSpaceDN w:val="0"/>
        <w:spacing w:after="120"/>
        <w:rPr>
          <w:color w:val="000000"/>
          <w:sz w:val="20"/>
          <w:szCs w:val="20"/>
        </w:rPr>
      </w:pPr>
      <w:r w:rsidRPr="00FD71ED">
        <w:rPr>
          <w:color w:val="000000"/>
          <w:sz w:val="20"/>
          <w:szCs w:val="20"/>
        </w:rPr>
        <w:t>Specify support for basic mobility with service continuity [RAN2, RAN3]</w:t>
      </w:r>
    </w:p>
    <w:p w14:paraId="34B41ADC" w14:textId="77777777" w:rsidR="00FD71ED" w:rsidRPr="00FD71ED" w:rsidRDefault="00FD71ED" w:rsidP="00DB2193">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Assuming that the necessary coordination function (like functions hosted by MCE, if any) resides in the gNB-CU, specify required changes on the RAN architecture and interfaces, considering the results of the SA2 SI on Broadcast/Multicast (</w:t>
      </w:r>
      <w:r w:rsidRPr="00FD71ED">
        <w:rPr>
          <w:sz w:val="20"/>
          <w:szCs w:val="20"/>
        </w:rPr>
        <w:t>SP-190625</w:t>
      </w:r>
      <w:r w:rsidRPr="00FD71ED">
        <w:rPr>
          <w:color w:val="000000"/>
          <w:sz w:val="20"/>
          <w:szCs w:val="20"/>
        </w:rPr>
        <w:t>) [RAN3]</w:t>
      </w:r>
    </w:p>
    <w:p w14:paraId="7C772A6F" w14:textId="77777777" w:rsidR="00FD71ED" w:rsidRPr="00FD71ED" w:rsidRDefault="00FD71ED" w:rsidP="00DB2193">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Specify required changes to improve reliability of Broadcast/Multicast service, e.g. by UL feedback. The level of reliability should be based on the requirements of the application/service provided.[RAN1, RAN2]</w:t>
      </w:r>
    </w:p>
    <w:p w14:paraId="4FB45308" w14:textId="195B69B1" w:rsidR="00C66594" w:rsidRPr="00FD71ED" w:rsidRDefault="00FD71ED" w:rsidP="00DB2193">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Study the support for d</w:t>
      </w:r>
      <w:r w:rsidRPr="00FD71ED">
        <w:rPr>
          <w:rFonts w:hint="eastAsia"/>
          <w:color w:val="000000"/>
          <w:sz w:val="20"/>
          <w:szCs w:val="20"/>
        </w:rPr>
        <w:t xml:space="preserve">ynamic </w:t>
      </w:r>
      <w:r w:rsidRPr="00FD71ED">
        <w:rPr>
          <w:color w:val="000000"/>
          <w:sz w:val="20"/>
          <w:szCs w:val="20"/>
        </w:rPr>
        <w:t>control of the Broadcast/Multicast transmission area within one gNB-DU and specify what is needed to enable it, if anything [RAN2, RAN3]</w:t>
      </w:r>
    </w:p>
    <w:p w14:paraId="275014D7" w14:textId="68D51422" w:rsidR="0025389B" w:rsidRPr="002655D9" w:rsidRDefault="007539D6" w:rsidP="007539D6">
      <w:pPr>
        <w:spacing w:after="120"/>
        <w:rPr>
          <w:rFonts w:eastAsia="MS Mincho"/>
          <w:sz w:val="20"/>
          <w:szCs w:val="20"/>
          <w:lang w:val="en-US"/>
        </w:rPr>
      </w:pPr>
      <w:r>
        <w:rPr>
          <w:rFonts w:eastAsia="MS Mincho"/>
          <w:sz w:val="20"/>
          <w:szCs w:val="20"/>
          <w:lang w:val="en-US" w:eastAsia="ja-JP"/>
        </w:rPr>
        <w:t>Some MBS reliability related</w:t>
      </w:r>
      <w:r w:rsidR="003512F3">
        <w:rPr>
          <w:rFonts w:eastAsia="MS Mincho"/>
          <w:sz w:val="20"/>
          <w:szCs w:val="20"/>
          <w:lang w:val="en-US" w:eastAsia="ja-JP"/>
        </w:rPr>
        <w:t xml:space="preserve"> agreements were made in RAN1#10</w:t>
      </w:r>
      <w:r w:rsidR="00B96E9D">
        <w:rPr>
          <w:rFonts w:eastAsia="MS Mincho"/>
          <w:sz w:val="20"/>
          <w:szCs w:val="20"/>
          <w:lang w:val="en-US" w:eastAsia="ja-JP"/>
        </w:rPr>
        <w:t>3</w:t>
      </w:r>
      <w:r w:rsidR="003512F3">
        <w:rPr>
          <w:rFonts w:eastAsia="MS Mincho"/>
          <w:sz w:val="20"/>
          <w:szCs w:val="20"/>
          <w:lang w:val="en-US" w:eastAsia="ja-JP"/>
        </w:rPr>
        <w:t>-e meeting [2].</w:t>
      </w:r>
      <w:r>
        <w:rPr>
          <w:rFonts w:eastAsia="MS Mincho"/>
          <w:sz w:val="20"/>
          <w:szCs w:val="20"/>
          <w:lang w:val="en-US" w:eastAsia="ja-JP"/>
        </w:rPr>
        <w:t xml:space="preserve"> </w:t>
      </w:r>
      <w:r w:rsidR="0025389B" w:rsidRPr="00FB6A81">
        <w:rPr>
          <w:rFonts w:eastAsia="MS Mincho"/>
          <w:sz w:val="20"/>
          <w:szCs w:val="20"/>
          <w:lang w:eastAsia="ja-JP"/>
        </w:rPr>
        <w:t xml:space="preserve">In this contribution, we </w:t>
      </w:r>
      <w:r w:rsidR="0025389B">
        <w:rPr>
          <w:rFonts w:eastAsia="MS Mincho"/>
          <w:sz w:val="20"/>
          <w:szCs w:val="20"/>
          <w:lang w:eastAsia="ja-JP"/>
        </w:rPr>
        <w:t xml:space="preserve">discuss the </w:t>
      </w:r>
      <w:r w:rsidR="00FA1586">
        <w:rPr>
          <w:rFonts w:eastAsia="MS Mincho"/>
          <w:sz w:val="20"/>
          <w:szCs w:val="20"/>
          <w:lang w:val="en-US"/>
        </w:rPr>
        <w:t>MBS reliability</w:t>
      </w:r>
      <w:r w:rsidR="003512F3">
        <w:rPr>
          <w:rFonts w:eastAsia="MS Mincho"/>
          <w:sz w:val="20"/>
          <w:szCs w:val="20"/>
          <w:lang w:val="en-US"/>
        </w:rPr>
        <w:t xml:space="preserve"> enhancement aspects</w:t>
      </w:r>
      <w:r w:rsidR="00FA1586">
        <w:rPr>
          <w:rFonts w:eastAsia="MS Mincho"/>
          <w:sz w:val="20"/>
          <w:szCs w:val="20"/>
          <w:lang w:val="en-US"/>
        </w:rPr>
        <w:t>, including the HARQ-ACK feedback mechanism, repetition enhancement, etc</w:t>
      </w:r>
      <w:r w:rsidR="00A82DDD">
        <w:rPr>
          <w:rFonts w:eastAsia="MS Mincho"/>
          <w:sz w:val="20"/>
          <w:szCs w:val="20"/>
          <w:lang w:val="en-US"/>
        </w:rPr>
        <w:t>.</w:t>
      </w:r>
    </w:p>
    <w:p w14:paraId="57F74D79" w14:textId="07A60770" w:rsidR="002A3F84" w:rsidRPr="0064123A" w:rsidRDefault="00BA6093" w:rsidP="0064123A">
      <w:pPr>
        <w:pStyle w:val="Heading1"/>
        <w:rPr>
          <w:rFonts w:cs="Arial"/>
          <w:lang w:val="en-CN"/>
        </w:rPr>
      </w:pPr>
      <w:r>
        <w:rPr>
          <w:rFonts w:cs="Arial"/>
          <w:lang w:val="en-US"/>
        </w:rPr>
        <w:t>MBS reliability improvements for RRC</w:t>
      </w:r>
      <w:r w:rsidR="00D27FC4">
        <w:rPr>
          <w:rFonts w:cs="Arial"/>
          <w:lang w:val="en-US"/>
        </w:rPr>
        <w:t>_CONNECTED</w:t>
      </w:r>
      <w:r>
        <w:rPr>
          <w:rFonts w:cs="Arial"/>
          <w:lang w:val="en-US"/>
        </w:rPr>
        <w:t xml:space="preserve"> UEs</w:t>
      </w:r>
    </w:p>
    <w:p w14:paraId="195A410A" w14:textId="1704DD0C" w:rsidR="00CD3D27" w:rsidRPr="00CD3D27" w:rsidRDefault="00CD3D27" w:rsidP="000C074D">
      <w:pPr>
        <w:spacing w:before="120" w:after="120"/>
        <w:rPr>
          <w:b/>
          <w:bCs/>
          <w:color w:val="000000"/>
          <w:sz w:val="20"/>
          <w:szCs w:val="20"/>
          <w:u w:val="single"/>
          <w:lang w:val="en-US"/>
        </w:rPr>
      </w:pPr>
      <w:r w:rsidRPr="00CD3D27">
        <w:rPr>
          <w:b/>
          <w:bCs/>
          <w:color w:val="000000"/>
          <w:sz w:val="20"/>
          <w:szCs w:val="20"/>
          <w:u w:val="single"/>
          <w:lang w:val="en-US"/>
        </w:rPr>
        <w:t xml:space="preserve">HARQ </w:t>
      </w:r>
      <w:r w:rsidR="003479F8">
        <w:rPr>
          <w:b/>
          <w:bCs/>
          <w:color w:val="000000"/>
          <w:sz w:val="20"/>
          <w:szCs w:val="20"/>
          <w:u w:val="single"/>
          <w:lang w:val="en-US"/>
        </w:rPr>
        <w:t>codebook</w:t>
      </w:r>
    </w:p>
    <w:p w14:paraId="6C804AEA" w14:textId="0CBF3EFF" w:rsidR="00A268BF" w:rsidRDefault="003479F8" w:rsidP="000C074D">
      <w:pPr>
        <w:spacing w:before="120" w:after="120"/>
        <w:rPr>
          <w:color w:val="000000"/>
          <w:sz w:val="20"/>
          <w:szCs w:val="20"/>
          <w:lang w:val="en-US"/>
        </w:rPr>
      </w:pPr>
      <w:r>
        <w:rPr>
          <w:color w:val="000000"/>
          <w:sz w:val="20"/>
          <w:szCs w:val="20"/>
          <w:lang w:val="en-US"/>
        </w:rPr>
        <w:t>For Type 2 HARQ-ACK codebook, one open issue is whether</w:t>
      </w:r>
      <w:r w:rsidR="00B451BC">
        <w:rPr>
          <w:color w:val="000000"/>
          <w:sz w:val="20"/>
          <w:szCs w:val="20"/>
          <w:lang w:val="en-US"/>
        </w:rPr>
        <w:t xml:space="preserve"> to</w:t>
      </w:r>
      <w:r>
        <w:rPr>
          <w:color w:val="000000"/>
          <w:sz w:val="20"/>
          <w:szCs w:val="20"/>
          <w:lang w:val="en-US"/>
        </w:rPr>
        <w:t xml:space="preserve"> support concatenating more than one Type-2</w:t>
      </w:r>
      <w:r w:rsidR="00A268BF">
        <w:rPr>
          <w:color w:val="000000"/>
          <w:sz w:val="20"/>
          <w:szCs w:val="20"/>
          <w:lang w:val="en-US"/>
        </w:rPr>
        <w:t xml:space="preserve"> </w:t>
      </w:r>
      <w:r>
        <w:rPr>
          <w:color w:val="000000"/>
          <w:sz w:val="20"/>
          <w:szCs w:val="20"/>
          <w:lang w:val="en-US"/>
        </w:rPr>
        <w:t>codebook for multicast. Th</w:t>
      </w:r>
      <w:r w:rsidR="006E199B">
        <w:rPr>
          <w:color w:val="000000"/>
          <w:sz w:val="20"/>
          <w:szCs w:val="20"/>
          <w:lang w:val="en-US"/>
        </w:rPr>
        <w:t>e</w:t>
      </w:r>
      <w:r>
        <w:rPr>
          <w:color w:val="000000"/>
          <w:sz w:val="20"/>
          <w:szCs w:val="20"/>
          <w:lang w:val="en-US"/>
        </w:rPr>
        <w:t xml:space="preserve"> issue is related to </w:t>
      </w:r>
      <w:r w:rsidR="009A7857">
        <w:rPr>
          <w:color w:val="000000"/>
          <w:sz w:val="20"/>
          <w:szCs w:val="20"/>
          <w:lang w:val="en-US"/>
        </w:rPr>
        <w:t xml:space="preserve">discussion in </w:t>
      </w:r>
      <w:r>
        <w:rPr>
          <w:color w:val="000000"/>
          <w:sz w:val="20"/>
          <w:szCs w:val="20"/>
          <w:lang w:val="en-US"/>
        </w:rPr>
        <w:t>another section whether multiple CFR</w:t>
      </w:r>
      <w:r w:rsidR="006E199B">
        <w:rPr>
          <w:color w:val="000000"/>
          <w:sz w:val="20"/>
          <w:szCs w:val="20"/>
          <w:lang w:val="en-US"/>
        </w:rPr>
        <w:t>s are supported in</w:t>
      </w:r>
      <w:r>
        <w:rPr>
          <w:color w:val="000000"/>
          <w:sz w:val="20"/>
          <w:szCs w:val="20"/>
          <w:lang w:val="en-US"/>
        </w:rPr>
        <w:t xml:space="preserve"> design.</w:t>
      </w:r>
      <w:r w:rsidR="00B451BC">
        <w:rPr>
          <w:color w:val="000000"/>
          <w:sz w:val="20"/>
          <w:szCs w:val="20"/>
          <w:lang w:val="en-US"/>
        </w:rPr>
        <w:t xml:space="preserve"> To support</w:t>
      </w:r>
      <w:r w:rsidR="00204101">
        <w:rPr>
          <w:color w:val="000000"/>
          <w:sz w:val="20"/>
          <w:szCs w:val="20"/>
          <w:lang w:val="en-US"/>
        </w:rPr>
        <w:t xml:space="preserve"> multiple CFRs, the DAI for different CFR would be counted separately, the sub-codebook </w:t>
      </w:r>
      <w:r w:rsidR="00B451BC">
        <w:rPr>
          <w:color w:val="000000"/>
          <w:sz w:val="20"/>
          <w:szCs w:val="20"/>
          <w:lang w:val="en-US"/>
        </w:rPr>
        <w:t>can be constructed for</w:t>
      </w:r>
      <w:r w:rsidR="00204101">
        <w:rPr>
          <w:color w:val="000000"/>
          <w:sz w:val="20"/>
          <w:szCs w:val="20"/>
          <w:lang w:val="en-US"/>
        </w:rPr>
        <w:t xml:space="preserve"> each CFR. In addition, a CORESET would be configured for </w:t>
      </w:r>
      <w:r w:rsidR="00B451BC">
        <w:rPr>
          <w:color w:val="000000"/>
          <w:sz w:val="20"/>
          <w:szCs w:val="20"/>
          <w:lang w:val="en-US"/>
        </w:rPr>
        <w:t>a</w:t>
      </w:r>
      <w:r w:rsidR="00204101">
        <w:rPr>
          <w:color w:val="000000"/>
          <w:sz w:val="20"/>
          <w:szCs w:val="20"/>
          <w:lang w:val="en-US"/>
        </w:rPr>
        <w:t xml:space="preserve"> CFR</w:t>
      </w:r>
      <w:r w:rsidR="0010674C">
        <w:rPr>
          <w:color w:val="000000"/>
          <w:sz w:val="20"/>
          <w:szCs w:val="20"/>
          <w:lang w:val="en-US"/>
        </w:rPr>
        <w:t>.</w:t>
      </w:r>
      <w:r w:rsidR="00204101">
        <w:rPr>
          <w:color w:val="000000"/>
          <w:sz w:val="20"/>
          <w:szCs w:val="20"/>
          <w:lang w:val="en-US"/>
        </w:rPr>
        <w:t xml:space="preserve"> </w:t>
      </w:r>
      <w:r w:rsidR="005A046C">
        <w:rPr>
          <w:color w:val="000000"/>
          <w:sz w:val="20"/>
          <w:szCs w:val="20"/>
          <w:lang w:val="en-US"/>
        </w:rPr>
        <w:t>I</w:t>
      </w:r>
      <w:r w:rsidR="00204101">
        <w:rPr>
          <w:color w:val="000000"/>
          <w:sz w:val="20"/>
          <w:szCs w:val="20"/>
          <w:lang w:val="en-US"/>
        </w:rPr>
        <w:t>f MBS BWP</w:t>
      </w:r>
      <w:r w:rsidR="0010674C">
        <w:rPr>
          <w:color w:val="000000"/>
          <w:sz w:val="20"/>
          <w:szCs w:val="20"/>
          <w:lang w:val="en-US"/>
        </w:rPr>
        <w:t xml:space="preserve">, i.e., Option 2A, </w:t>
      </w:r>
      <w:r w:rsidR="00204101">
        <w:rPr>
          <w:color w:val="000000"/>
          <w:sz w:val="20"/>
          <w:szCs w:val="20"/>
          <w:lang w:val="en-US"/>
        </w:rPr>
        <w:t xml:space="preserve">is not preferred, </w:t>
      </w:r>
      <w:r w:rsidR="00F30F68">
        <w:rPr>
          <w:color w:val="000000"/>
          <w:sz w:val="20"/>
          <w:szCs w:val="20"/>
          <w:lang w:val="en-US"/>
        </w:rPr>
        <w:t xml:space="preserve">then </w:t>
      </w:r>
      <w:r w:rsidR="00204101">
        <w:rPr>
          <w:color w:val="000000"/>
          <w:sz w:val="20"/>
          <w:szCs w:val="20"/>
          <w:lang w:val="en-US"/>
        </w:rPr>
        <w:t xml:space="preserve">the </w:t>
      </w:r>
      <w:r w:rsidR="0010674C">
        <w:rPr>
          <w:color w:val="000000"/>
          <w:sz w:val="20"/>
          <w:szCs w:val="20"/>
          <w:lang w:val="en-US"/>
        </w:rPr>
        <w:t xml:space="preserve">number of </w:t>
      </w:r>
      <w:r w:rsidR="00204101">
        <w:rPr>
          <w:color w:val="000000"/>
          <w:sz w:val="20"/>
          <w:szCs w:val="20"/>
          <w:lang w:val="en-US"/>
        </w:rPr>
        <w:t xml:space="preserve">CORESET </w:t>
      </w:r>
      <w:r w:rsidR="0010674C">
        <w:rPr>
          <w:color w:val="000000"/>
          <w:sz w:val="20"/>
          <w:szCs w:val="20"/>
          <w:lang w:val="en-US"/>
        </w:rPr>
        <w:t xml:space="preserve">is </w:t>
      </w:r>
      <w:r w:rsidR="00F30F68">
        <w:rPr>
          <w:color w:val="000000"/>
          <w:sz w:val="20"/>
          <w:szCs w:val="20"/>
          <w:lang w:val="en-US"/>
        </w:rPr>
        <w:t xml:space="preserve">still </w:t>
      </w:r>
      <w:r w:rsidR="0010674C">
        <w:rPr>
          <w:color w:val="000000"/>
          <w:sz w:val="20"/>
          <w:szCs w:val="20"/>
          <w:lang w:val="en-US"/>
        </w:rPr>
        <w:t>restricted</w:t>
      </w:r>
      <w:r w:rsidR="00F30F68">
        <w:rPr>
          <w:color w:val="000000"/>
          <w:sz w:val="20"/>
          <w:szCs w:val="20"/>
          <w:lang w:val="en-US"/>
        </w:rPr>
        <w:t xml:space="preserve"> to three for</w:t>
      </w:r>
      <w:r w:rsidR="0010674C">
        <w:rPr>
          <w:color w:val="000000"/>
          <w:sz w:val="20"/>
          <w:szCs w:val="20"/>
          <w:lang w:val="en-US"/>
        </w:rPr>
        <w:t xml:space="preserve"> UE dedicated BWP, it’s hard to support multiple CFRs</w:t>
      </w:r>
      <w:r w:rsidR="00204101">
        <w:rPr>
          <w:color w:val="000000"/>
          <w:sz w:val="20"/>
          <w:szCs w:val="20"/>
          <w:lang w:val="en-US"/>
        </w:rPr>
        <w:t xml:space="preserve">. </w:t>
      </w:r>
    </w:p>
    <w:tbl>
      <w:tblPr>
        <w:tblStyle w:val="TableGrid"/>
        <w:tblW w:w="0" w:type="auto"/>
        <w:tblLook w:val="04A0" w:firstRow="1" w:lastRow="0" w:firstColumn="1" w:lastColumn="0" w:noHBand="0" w:noVBand="1"/>
      </w:tblPr>
      <w:tblGrid>
        <w:gridCol w:w="9629"/>
      </w:tblGrid>
      <w:tr w:rsidR="003479F8" w14:paraId="7D2E03F1" w14:textId="77777777" w:rsidTr="003479F8">
        <w:tc>
          <w:tcPr>
            <w:tcW w:w="9629" w:type="dxa"/>
          </w:tcPr>
          <w:p w14:paraId="5656FC60" w14:textId="48E583FC" w:rsidR="00204101" w:rsidRPr="00204101" w:rsidRDefault="00204101" w:rsidP="00204101">
            <w:pPr>
              <w:rPr>
                <w:sz w:val="20"/>
                <w:szCs w:val="20"/>
                <w:lang w:val="en-US" w:eastAsia="x-none"/>
              </w:rPr>
            </w:pPr>
            <w:r w:rsidRPr="00A94E8C">
              <w:rPr>
                <w:sz w:val="20"/>
                <w:szCs w:val="20"/>
                <w:highlight w:val="green"/>
                <w:lang w:eastAsia="x-none"/>
              </w:rPr>
              <w:t>Agreement:</w:t>
            </w:r>
            <w:r>
              <w:rPr>
                <w:sz w:val="20"/>
                <w:szCs w:val="20"/>
                <w:lang w:val="en-US" w:eastAsia="x-none"/>
              </w:rPr>
              <w:t>[</w:t>
            </w:r>
            <w:r w:rsidR="00FC389C">
              <w:rPr>
                <w:sz w:val="20"/>
                <w:szCs w:val="20"/>
                <w:lang w:val="en-US" w:eastAsia="x-none"/>
              </w:rPr>
              <w:t>4</w:t>
            </w:r>
            <w:r>
              <w:rPr>
                <w:sz w:val="20"/>
                <w:szCs w:val="20"/>
                <w:lang w:val="en-US" w:eastAsia="x-none"/>
              </w:rPr>
              <w:t>]</w:t>
            </w:r>
          </w:p>
          <w:p w14:paraId="621CC724" w14:textId="77777777" w:rsidR="00204101" w:rsidRPr="00A94E8C" w:rsidRDefault="00204101" w:rsidP="00204101">
            <w:pPr>
              <w:rPr>
                <w:sz w:val="20"/>
                <w:szCs w:val="20"/>
              </w:rPr>
            </w:pPr>
            <w:r w:rsidRPr="00A94E8C">
              <w:rPr>
                <w:sz w:val="20"/>
                <w:szCs w:val="20"/>
              </w:rPr>
              <w:t xml:space="preserve">For ACK/NACK based feedback if supported for multicast, for Type-2 HARQ-ACK feedback construction for PTM scheme 1, </w:t>
            </w:r>
          </w:p>
          <w:p w14:paraId="051088DF" w14:textId="77777777" w:rsidR="00204101" w:rsidRPr="00A94E8C" w:rsidRDefault="00204101" w:rsidP="00204101">
            <w:pPr>
              <w:numPr>
                <w:ilvl w:val="0"/>
                <w:numId w:val="22"/>
              </w:numPr>
              <w:rPr>
                <w:sz w:val="20"/>
                <w:szCs w:val="20"/>
              </w:rPr>
            </w:pPr>
            <w:r w:rsidRPr="00A94E8C">
              <w:rPr>
                <w:sz w:val="20"/>
                <w:szCs w:val="20"/>
              </w:rPr>
              <w:lastRenderedPageBreak/>
              <w:t xml:space="preserve">DAI for unicast and DAI for multicast are separately counted. </w:t>
            </w:r>
          </w:p>
          <w:p w14:paraId="665F8FDA" w14:textId="77777777" w:rsidR="00204101" w:rsidRPr="00A94E8C" w:rsidRDefault="00204101" w:rsidP="00204101">
            <w:pPr>
              <w:numPr>
                <w:ilvl w:val="0"/>
                <w:numId w:val="22"/>
              </w:numPr>
              <w:rPr>
                <w:sz w:val="20"/>
                <w:szCs w:val="20"/>
              </w:rPr>
            </w:pPr>
            <w:r w:rsidRPr="00A94E8C">
              <w:rPr>
                <w:sz w:val="20"/>
                <w:szCs w:val="20"/>
              </w:rPr>
              <w:t xml:space="preserve">Concatenation of Type-2 HARQ-ACK codebook for unicast and multicast is supported. </w:t>
            </w:r>
          </w:p>
          <w:p w14:paraId="7B1E8AEA" w14:textId="77777777" w:rsidR="00204101" w:rsidRPr="00A94E8C" w:rsidRDefault="00204101" w:rsidP="00204101">
            <w:pPr>
              <w:numPr>
                <w:ilvl w:val="1"/>
                <w:numId w:val="22"/>
              </w:numPr>
              <w:rPr>
                <w:sz w:val="20"/>
                <w:szCs w:val="20"/>
              </w:rPr>
            </w:pPr>
            <w:r w:rsidRPr="00A94E8C">
              <w:rPr>
                <w:sz w:val="20"/>
                <w:szCs w:val="20"/>
              </w:rPr>
              <w:t xml:space="preserve">FFS details on concatenating the codebooks. </w:t>
            </w:r>
          </w:p>
          <w:p w14:paraId="5DC4225A" w14:textId="77777777" w:rsidR="00204101" w:rsidRDefault="00204101" w:rsidP="00204101">
            <w:pPr>
              <w:numPr>
                <w:ilvl w:val="0"/>
                <w:numId w:val="22"/>
              </w:numPr>
            </w:pPr>
            <w:r w:rsidRPr="00A94E8C">
              <w:rPr>
                <w:sz w:val="20"/>
                <w:szCs w:val="20"/>
              </w:rPr>
              <w:t>FFS whether to support concatenating more than one Type-2 HARQ-ACK codebook for multicast.</w:t>
            </w:r>
            <w:r w:rsidRPr="00A46E3E">
              <w:t xml:space="preserve"> </w:t>
            </w:r>
          </w:p>
          <w:p w14:paraId="19972444" w14:textId="686D2604" w:rsidR="00204101" w:rsidRPr="00204101" w:rsidRDefault="00204101" w:rsidP="00204101">
            <w:pPr>
              <w:widowControl w:val="0"/>
              <w:spacing w:after="120"/>
              <w:rPr>
                <w:sz w:val="20"/>
                <w:szCs w:val="20"/>
                <w:lang w:val="en-US"/>
              </w:rPr>
            </w:pPr>
            <w:r w:rsidRPr="00204101">
              <w:rPr>
                <w:sz w:val="20"/>
                <w:szCs w:val="20"/>
                <w:highlight w:val="green"/>
                <w:lang w:eastAsia="x-none"/>
              </w:rPr>
              <w:t>Agreement</w:t>
            </w:r>
            <w:r>
              <w:rPr>
                <w:sz w:val="20"/>
                <w:szCs w:val="20"/>
                <w:lang w:val="en-US" w:eastAsia="x-none"/>
              </w:rPr>
              <w:t>: [</w:t>
            </w:r>
            <w:r w:rsidR="00FC389C">
              <w:rPr>
                <w:sz w:val="20"/>
                <w:szCs w:val="20"/>
                <w:lang w:val="en-US" w:eastAsia="x-none"/>
              </w:rPr>
              <w:t>3</w:t>
            </w:r>
            <w:r>
              <w:rPr>
                <w:sz w:val="20"/>
                <w:szCs w:val="20"/>
                <w:lang w:val="en-US" w:eastAsia="x-none"/>
              </w:rPr>
              <w:t>]</w:t>
            </w:r>
          </w:p>
          <w:p w14:paraId="2A904EDB" w14:textId="138CBF64" w:rsidR="003479F8" w:rsidRPr="003479F8" w:rsidRDefault="003479F8" w:rsidP="00204101">
            <w:pPr>
              <w:pStyle w:val="ListParagraph"/>
              <w:widowControl w:val="0"/>
              <w:numPr>
                <w:ilvl w:val="0"/>
                <w:numId w:val="22"/>
              </w:numPr>
              <w:spacing w:after="120"/>
              <w:rPr>
                <w:sz w:val="20"/>
                <w:szCs w:val="20"/>
                <w:lang w:eastAsia="zh-CN"/>
              </w:rPr>
            </w:pPr>
            <w:r w:rsidRPr="003479F8">
              <w:rPr>
                <w:sz w:val="20"/>
                <w:szCs w:val="20"/>
                <w:lang w:eastAsia="zh-CN"/>
              </w:rPr>
              <w:t>FFS whether to support more than one common frequency resources per UE / per dedicated unicast BWP subjected to UE capabilities</w:t>
            </w:r>
          </w:p>
        </w:tc>
      </w:tr>
    </w:tbl>
    <w:p w14:paraId="476C9095" w14:textId="4DE50F47" w:rsidR="003479F8" w:rsidRPr="003479F8" w:rsidRDefault="003479F8" w:rsidP="00F30F68">
      <w:pPr>
        <w:spacing w:before="120" w:after="120"/>
        <w:rPr>
          <w:b/>
          <w:bCs/>
          <w:color w:val="000000"/>
          <w:sz w:val="20"/>
          <w:szCs w:val="20"/>
          <w:lang w:val="en-US"/>
        </w:rPr>
      </w:pPr>
      <w:r w:rsidRPr="003479F8">
        <w:rPr>
          <w:b/>
          <w:bCs/>
          <w:color w:val="000000"/>
          <w:sz w:val="20"/>
          <w:szCs w:val="20"/>
          <w:lang w:val="en-US"/>
        </w:rPr>
        <w:lastRenderedPageBreak/>
        <w:t xml:space="preserve">Proposal </w:t>
      </w:r>
      <w:r>
        <w:rPr>
          <w:b/>
          <w:bCs/>
          <w:color w:val="000000"/>
          <w:sz w:val="20"/>
          <w:szCs w:val="20"/>
          <w:lang w:val="en-US"/>
        </w:rPr>
        <w:t>1</w:t>
      </w:r>
      <w:r w:rsidRPr="003479F8">
        <w:rPr>
          <w:b/>
          <w:bCs/>
          <w:color w:val="000000"/>
          <w:sz w:val="20"/>
          <w:szCs w:val="20"/>
          <w:lang w:val="en-US"/>
        </w:rPr>
        <w:t xml:space="preserve">: </w:t>
      </w:r>
      <w:r w:rsidR="002E7CE9">
        <w:rPr>
          <w:b/>
          <w:bCs/>
          <w:color w:val="000000"/>
          <w:sz w:val="20"/>
          <w:szCs w:val="20"/>
          <w:lang w:val="en-US"/>
        </w:rPr>
        <w:t>W</w:t>
      </w:r>
      <w:r w:rsidRPr="003479F8">
        <w:rPr>
          <w:b/>
          <w:bCs/>
          <w:color w:val="000000"/>
          <w:sz w:val="20"/>
          <w:szCs w:val="20"/>
          <w:lang w:val="en-US"/>
        </w:rPr>
        <w:t>hether to support more than one Type-2 codebook for M</w:t>
      </w:r>
      <w:r w:rsidR="005A046C">
        <w:rPr>
          <w:b/>
          <w:bCs/>
          <w:color w:val="000000"/>
          <w:sz w:val="20"/>
          <w:szCs w:val="20"/>
          <w:lang w:val="en-US"/>
        </w:rPr>
        <w:t>B</w:t>
      </w:r>
      <w:r w:rsidRPr="003479F8">
        <w:rPr>
          <w:b/>
          <w:bCs/>
          <w:color w:val="000000"/>
          <w:sz w:val="20"/>
          <w:szCs w:val="20"/>
          <w:lang w:val="en-US"/>
        </w:rPr>
        <w:t xml:space="preserve">S </w:t>
      </w:r>
      <w:r w:rsidRPr="003479F8">
        <w:rPr>
          <w:b/>
          <w:bCs/>
          <w:color w:val="000000"/>
          <w:sz w:val="20"/>
          <w:szCs w:val="20"/>
          <w:lang w:val="en-US"/>
        </w:rPr>
        <w:t xml:space="preserve"> is waiting for the outcome of the </w:t>
      </w:r>
      <w:r w:rsidRPr="003479F8">
        <w:rPr>
          <w:b/>
          <w:bCs/>
          <w:color w:val="000000"/>
          <w:sz w:val="20"/>
          <w:szCs w:val="20"/>
          <w:lang w:val="en-US"/>
        </w:rPr>
        <w:t>CFR</w:t>
      </w:r>
      <w:r w:rsidRPr="003479F8">
        <w:rPr>
          <w:b/>
          <w:bCs/>
          <w:color w:val="000000"/>
          <w:sz w:val="20"/>
          <w:szCs w:val="20"/>
          <w:lang w:val="en-US"/>
        </w:rPr>
        <w:t xml:space="preserve"> design.</w:t>
      </w:r>
    </w:p>
    <w:p w14:paraId="2BF1C6AA" w14:textId="6B98F4D3" w:rsidR="00C86B31" w:rsidRDefault="002B4A1F" w:rsidP="000C074D">
      <w:pPr>
        <w:spacing w:before="120" w:after="120"/>
        <w:rPr>
          <w:color w:val="000000"/>
          <w:sz w:val="20"/>
          <w:szCs w:val="20"/>
          <w:lang w:val="en-US"/>
        </w:rPr>
      </w:pPr>
      <w:r>
        <w:rPr>
          <w:color w:val="000000"/>
          <w:sz w:val="20"/>
          <w:szCs w:val="20"/>
          <w:lang w:val="en-US"/>
        </w:rPr>
        <w:t xml:space="preserve">For HARQ-ACK codebook design for FDM-ed multicast and unicast, one open issue is whether </w:t>
      </w:r>
      <w:r w:rsidR="008042D9">
        <w:rPr>
          <w:color w:val="000000"/>
          <w:sz w:val="20"/>
          <w:szCs w:val="20"/>
          <w:lang w:val="en-US"/>
        </w:rPr>
        <w:t xml:space="preserve">to support </w:t>
      </w:r>
      <w:r w:rsidR="00C86B31">
        <w:rPr>
          <w:color w:val="000000"/>
          <w:sz w:val="20"/>
          <w:szCs w:val="20"/>
          <w:lang w:val="en-US"/>
        </w:rPr>
        <w:t>the case 4 and</w:t>
      </w:r>
      <w:r w:rsidR="008042D9">
        <w:rPr>
          <w:color w:val="000000"/>
          <w:sz w:val="20"/>
          <w:szCs w:val="20"/>
          <w:lang w:val="en-US"/>
        </w:rPr>
        <w:t>/or</w:t>
      </w:r>
      <w:r w:rsidR="00C86B31">
        <w:rPr>
          <w:color w:val="000000"/>
          <w:sz w:val="20"/>
          <w:szCs w:val="20"/>
          <w:lang w:val="en-US"/>
        </w:rPr>
        <w:t xml:space="preserve"> case 5. </w:t>
      </w:r>
      <w:r w:rsidR="00CE53CB">
        <w:rPr>
          <w:color w:val="000000"/>
          <w:sz w:val="20"/>
          <w:szCs w:val="20"/>
          <w:lang w:val="en-US"/>
        </w:rPr>
        <w:t>If</w:t>
      </w:r>
      <w:r w:rsidR="00C86B31">
        <w:rPr>
          <w:color w:val="000000"/>
          <w:sz w:val="20"/>
          <w:szCs w:val="20"/>
          <w:lang w:val="en-US"/>
        </w:rPr>
        <w:t xml:space="preserve"> case 4</w:t>
      </w:r>
      <w:r w:rsidR="00CE53CB">
        <w:rPr>
          <w:color w:val="000000"/>
          <w:sz w:val="20"/>
          <w:szCs w:val="20"/>
          <w:lang w:val="en-US"/>
        </w:rPr>
        <w:t xml:space="preserve"> is</w:t>
      </w:r>
      <w:r w:rsidR="00C86B31">
        <w:rPr>
          <w:color w:val="000000"/>
          <w:sz w:val="20"/>
          <w:szCs w:val="20"/>
          <w:lang w:val="en-US"/>
        </w:rPr>
        <w:t xml:space="preserve"> not supported, then only two HARQ-ACK bits will be reported per slot for Type-1 HARQ-ACK codebook. </w:t>
      </w:r>
      <w:r w:rsidR="00D576F3">
        <w:rPr>
          <w:color w:val="000000"/>
          <w:sz w:val="20"/>
          <w:szCs w:val="20"/>
          <w:lang w:val="en-US"/>
        </w:rPr>
        <w:t>T</w:t>
      </w:r>
      <w:r w:rsidR="00C86B31">
        <w:rPr>
          <w:color w:val="000000"/>
          <w:sz w:val="20"/>
          <w:szCs w:val="20"/>
          <w:lang w:val="en-US"/>
        </w:rPr>
        <w:t>his restrict</w:t>
      </w:r>
      <w:r w:rsidR="00D576F3">
        <w:rPr>
          <w:color w:val="000000"/>
          <w:sz w:val="20"/>
          <w:szCs w:val="20"/>
          <w:lang w:val="en-US"/>
        </w:rPr>
        <w:t>s</w:t>
      </w:r>
      <w:r w:rsidR="00C86B31">
        <w:rPr>
          <w:color w:val="000000"/>
          <w:sz w:val="20"/>
          <w:szCs w:val="20"/>
          <w:lang w:val="en-US"/>
        </w:rPr>
        <w:t xml:space="preserve"> </w:t>
      </w:r>
      <w:r w:rsidR="00D576F3">
        <w:rPr>
          <w:color w:val="000000"/>
          <w:sz w:val="20"/>
          <w:szCs w:val="20"/>
          <w:lang w:val="en-US"/>
        </w:rPr>
        <w:t>only one</w:t>
      </w:r>
      <w:r w:rsidR="00C86B31">
        <w:rPr>
          <w:color w:val="000000"/>
          <w:sz w:val="20"/>
          <w:szCs w:val="20"/>
          <w:lang w:val="en-US"/>
        </w:rPr>
        <w:t xml:space="preserve"> unicast PDSCH reception in one slot, </w:t>
      </w:r>
      <w:r w:rsidR="00D576F3">
        <w:rPr>
          <w:color w:val="000000"/>
          <w:sz w:val="20"/>
          <w:szCs w:val="20"/>
          <w:lang w:val="en-US"/>
        </w:rPr>
        <w:t xml:space="preserve">which means the MBS and URLLC features </w:t>
      </w:r>
      <w:r w:rsidR="00CE53CB">
        <w:rPr>
          <w:color w:val="000000"/>
          <w:sz w:val="20"/>
          <w:szCs w:val="20"/>
          <w:lang w:val="en-US"/>
        </w:rPr>
        <w:t>couldn’t</w:t>
      </w:r>
      <w:r w:rsidR="00D576F3">
        <w:rPr>
          <w:color w:val="000000"/>
          <w:sz w:val="20"/>
          <w:szCs w:val="20"/>
          <w:lang w:val="en-US"/>
        </w:rPr>
        <w:t xml:space="preserve"> operate together. </w:t>
      </w:r>
      <w:r w:rsidR="000D0513">
        <w:rPr>
          <w:color w:val="000000"/>
          <w:sz w:val="20"/>
          <w:szCs w:val="20"/>
          <w:lang w:val="en-US"/>
        </w:rPr>
        <w:t>On the other hand, if the case 4 is supported, it allows different MBS services to be received in the same slot.</w:t>
      </w:r>
      <w:r w:rsidR="00F27A74">
        <w:rPr>
          <w:color w:val="000000"/>
          <w:sz w:val="20"/>
          <w:szCs w:val="20"/>
          <w:lang w:val="en-US"/>
        </w:rPr>
        <w:t xml:space="preserve"> Considering the UE implementation complexity,</w:t>
      </w:r>
      <w:r w:rsidR="000D0513">
        <w:rPr>
          <w:color w:val="000000"/>
          <w:sz w:val="20"/>
          <w:szCs w:val="20"/>
          <w:lang w:val="en-US"/>
        </w:rPr>
        <w:t xml:space="preserve"> </w:t>
      </w:r>
      <w:r w:rsidR="00F27A74">
        <w:rPr>
          <w:color w:val="000000"/>
          <w:sz w:val="20"/>
          <w:szCs w:val="20"/>
          <w:lang w:val="en-US"/>
        </w:rPr>
        <w:t>i</w:t>
      </w:r>
      <w:r w:rsidR="000D0513">
        <w:rPr>
          <w:color w:val="000000"/>
          <w:sz w:val="20"/>
          <w:szCs w:val="20"/>
          <w:lang w:val="en-US"/>
        </w:rPr>
        <w:t>t’s UE capability to support the case 4.</w:t>
      </w:r>
    </w:p>
    <w:p w14:paraId="10FF1909" w14:textId="4A0932DE" w:rsidR="003479F8" w:rsidRPr="003479F8" w:rsidRDefault="000D0513" w:rsidP="000C074D">
      <w:pPr>
        <w:spacing w:before="120" w:after="120"/>
        <w:rPr>
          <w:color w:val="000000"/>
          <w:sz w:val="20"/>
          <w:szCs w:val="20"/>
          <w:lang w:val="en-US"/>
        </w:rPr>
      </w:pPr>
      <w:r>
        <w:rPr>
          <w:color w:val="000000"/>
          <w:sz w:val="20"/>
          <w:szCs w:val="20"/>
          <w:lang w:val="en-US"/>
        </w:rPr>
        <w:t xml:space="preserve"> For case 5, this </w:t>
      </w:r>
      <w:r w:rsidR="00F27A74">
        <w:rPr>
          <w:color w:val="000000"/>
          <w:sz w:val="20"/>
          <w:szCs w:val="20"/>
          <w:lang w:val="en-US"/>
        </w:rPr>
        <w:t>is related</w:t>
      </w:r>
      <w:r w:rsidR="000C6AA7">
        <w:rPr>
          <w:color w:val="000000"/>
          <w:sz w:val="20"/>
          <w:szCs w:val="20"/>
          <w:lang w:val="en-US"/>
        </w:rPr>
        <w:t xml:space="preserve"> the discussion</w:t>
      </w:r>
      <w:r>
        <w:rPr>
          <w:color w:val="000000"/>
          <w:sz w:val="20"/>
          <w:szCs w:val="20"/>
          <w:lang w:val="en-US"/>
        </w:rPr>
        <w:t xml:space="preserve"> whether multiple CFRs are supported</w:t>
      </w:r>
      <w:r w:rsidR="000C6AA7">
        <w:rPr>
          <w:color w:val="000000"/>
          <w:sz w:val="20"/>
          <w:szCs w:val="20"/>
          <w:lang w:val="en-US"/>
        </w:rPr>
        <w:t>,</w:t>
      </w:r>
      <w:r>
        <w:rPr>
          <w:color w:val="000000"/>
          <w:sz w:val="20"/>
          <w:szCs w:val="20"/>
          <w:lang w:val="en-US"/>
        </w:rPr>
        <w:t xml:space="preserve"> </w:t>
      </w:r>
      <w:r w:rsidR="003C36D3">
        <w:rPr>
          <w:color w:val="000000"/>
          <w:sz w:val="20"/>
          <w:szCs w:val="20"/>
          <w:lang w:val="en-US"/>
        </w:rPr>
        <w:t>i</w:t>
      </w:r>
      <w:r>
        <w:rPr>
          <w:color w:val="000000"/>
          <w:sz w:val="20"/>
          <w:szCs w:val="20"/>
          <w:lang w:val="en-US"/>
        </w:rPr>
        <w:t>t can be discussed</w:t>
      </w:r>
      <w:r w:rsidR="003C36D3">
        <w:rPr>
          <w:color w:val="000000"/>
          <w:sz w:val="20"/>
          <w:szCs w:val="20"/>
          <w:lang w:val="en-US"/>
        </w:rPr>
        <w:t xml:space="preserve"> further</w:t>
      </w:r>
      <w:r>
        <w:rPr>
          <w:color w:val="000000"/>
          <w:sz w:val="20"/>
          <w:szCs w:val="20"/>
          <w:lang w:val="en-US"/>
        </w:rPr>
        <w:t xml:space="preserve"> after the CFR design.</w:t>
      </w:r>
    </w:p>
    <w:tbl>
      <w:tblPr>
        <w:tblStyle w:val="TableGrid"/>
        <w:tblW w:w="0" w:type="auto"/>
        <w:tblLook w:val="04A0" w:firstRow="1" w:lastRow="0" w:firstColumn="1" w:lastColumn="0" w:noHBand="0" w:noVBand="1"/>
      </w:tblPr>
      <w:tblGrid>
        <w:gridCol w:w="9629"/>
      </w:tblGrid>
      <w:tr w:rsidR="00CD3D27" w14:paraId="0C4996AD" w14:textId="77777777" w:rsidTr="00CD3D27">
        <w:tc>
          <w:tcPr>
            <w:tcW w:w="9629" w:type="dxa"/>
          </w:tcPr>
          <w:p w14:paraId="27721D50" w14:textId="225C4940" w:rsidR="00D576F3" w:rsidRPr="00FC389C" w:rsidRDefault="00D576F3" w:rsidP="00D576F3">
            <w:pPr>
              <w:rPr>
                <w:sz w:val="20"/>
                <w:szCs w:val="20"/>
                <w:lang w:val="en-US"/>
              </w:rPr>
            </w:pPr>
            <w:r w:rsidRPr="00D576F3">
              <w:rPr>
                <w:sz w:val="20"/>
                <w:szCs w:val="20"/>
                <w:highlight w:val="green"/>
              </w:rPr>
              <w:t>Agreements</w:t>
            </w:r>
            <w:r w:rsidRPr="00D576F3">
              <w:rPr>
                <w:sz w:val="20"/>
                <w:szCs w:val="20"/>
              </w:rPr>
              <w:t>:</w:t>
            </w:r>
            <w:r w:rsidR="00FC389C">
              <w:rPr>
                <w:sz w:val="20"/>
                <w:szCs w:val="20"/>
                <w:lang w:val="en-US"/>
              </w:rPr>
              <w:t>[2]</w:t>
            </w:r>
          </w:p>
          <w:p w14:paraId="5FDB5410" w14:textId="77777777" w:rsidR="00D576F3" w:rsidRPr="00D576F3" w:rsidRDefault="00D576F3" w:rsidP="00D576F3">
            <w:pPr>
              <w:pStyle w:val="ListParagraph"/>
              <w:numPr>
                <w:ilvl w:val="0"/>
                <w:numId w:val="13"/>
              </w:numPr>
              <w:rPr>
                <w:color w:val="000000"/>
                <w:sz w:val="20"/>
                <w:szCs w:val="20"/>
              </w:rPr>
            </w:pPr>
            <w:r w:rsidRPr="00D576F3">
              <w:rPr>
                <w:color w:val="000000"/>
                <w:sz w:val="20"/>
                <w:szCs w:val="20"/>
              </w:rPr>
              <w:t>For RRC_CONNECTED UEs, at least support FDM between unicast PDSCH and group-common PDSCH in a slot based on UE capability.</w:t>
            </w:r>
          </w:p>
          <w:p w14:paraId="157AEA10" w14:textId="3271C116" w:rsidR="00D576F3" w:rsidRPr="00D576F3" w:rsidRDefault="00D576F3" w:rsidP="00D576F3">
            <w:pPr>
              <w:pStyle w:val="ListParagraph"/>
              <w:widowControl w:val="0"/>
              <w:numPr>
                <w:ilvl w:val="1"/>
                <w:numId w:val="12"/>
              </w:numPr>
              <w:rPr>
                <w:sz w:val="20"/>
                <w:szCs w:val="20"/>
              </w:rPr>
            </w:pPr>
            <w:r w:rsidRPr="00D576F3">
              <w:rPr>
                <w:sz w:val="20"/>
                <w:szCs w:val="20"/>
              </w:rPr>
              <w:t>FFS: TDM or SDM in a slot.</w:t>
            </w:r>
          </w:p>
          <w:p w14:paraId="4D217253" w14:textId="55CB7667" w:rsidR="002B4A1F" w:rsidRDefault="002B4A1F" w:rsidP="002B4A1F">
            <w:pPr>
              <w:widowControl w:val="0"/>
              <w:spacing w:after="120"/>
              <w:rPr>
                <w:sz w:val="20"/>
                <w:szCs w:val="20"/>
                <w:lang w:val="en-US"/>
              </w:rPr>
            </w:pPr>
            <w:r w:rsidRPr="002B4A1F">
              <w:rPr>
                <w:sz w:val="20"/>
                <w:szCs w:val="20"/>
                <w:highlight w:val="green"/>
              </w:rPr>
              <w:t>Agreements:</w:t>
            </w:r>
            <w:r>
              <w:rPr>
                <w:sz w:val="20"/>
                <w:szCs w:val="20"/>
                <w:lang w:val="en-US"/>
              </w:rPr>
              <w:t xml:space="preserve"> [</w:t>
            </w:r>
            <w:r w:rsidR="00FC389C">
              <w:rPr>
                <w:sz w:val="20"/>
                <w:szCs w:val="20"/>
                <w:lang w:val="en-US"/>
              </w:rPr>
              <w:t>3</w:t>
            </w:r>
            <w:r>
              <w:rPr>
                <w:sz w:val="20"/>
                <w:szCs w:val="20"/>
                <w:lang w:val="en-US"/>
              </w:rPr>
              <w:t xml:space="preserve">] </w:t>
            </w:r>
          </w:p>
          <w:p w14:paraId="7AC4F0CD" w14:textId="2A8861EC" w:rsidR="002B4A1F" w:rsidRPr="002B4A1F" w:rsidRDefault="002B4A1F" w:rsidP="002B4A1F">
            <w:pPr>
              <w:widowControl w:val="0"/>
              <w:spacing w:after="120"/>
              <w:rPr>
                <w:sz w:val="20"/>
                <w:szCs w:val="20"/>
              </w:rPr>
            </w:pPr>
            <w:r w:rsidRPr="002B4A1F">
              <w:rPr>
                <w:sz w:val="20"/>
                <w:szCs w:val="20"/>
              </w:rPr>
              <w:t>Further study the following cases for simultaneous reception of unicast PDSCH and group-common PDSCH in a slot based on UE capability for RRC_CONNECTED UEs.</w:t>
            </w:r>
          </w:p>
          <w:p w14:paraId="7056E2FA" w14:textId="77777777" w:rsidR="002B4A1F" w:rsidRPr="002B4A1F" w:rsidRDefault="002B4A1F" w:rsidP="002B4A1F">
            <w:pPr>
              <w:pStyle w:val="ListParagraph"/>
              <w:widowControl w:val="0"/>
              <w:numPr>
                <w:ilvl w:val="0"/>
                <w:numId w:val="24"/>
              </w:numPr>
              <w:spacing w:after="120"/>
              <w:rPr>
                <w:sz w:val="20"/>
                <w:szCs w:val="20"/>
                <w:lang w:eastAsia="zh-CN"/>
              </w:rPr>
            </w:pPr>
            <w:r w:rsidRPr="002B4A1F">
              <w:rPr>
                <w:sz w:val="20"/>
                <w:szCs w:val="20"/>
                <w:lang w:eastAsia="zh-CN"/>
              </w:rPr>
              <w:t>Case 1: support TDM between multiple TDMed unicast PDSCHs and one group-common PDSCH in a slot</w:t>
            </w:r>
          </w:p>
          <w:p w14:paraId="504E906C" w14:textId="77777777" w:rsidR="002B4A1F" w:rsidRPr="002B4A1F" w:rsidRDefault="002B4A1F" w:rsidP="002B4A1F">
            <w:pPr>
              <w:pStyle w:val="ListParagraph"/>
              <w:widowControl w:val="0"/>
              <w:numPr>
                <w:ilvl w:val="0"/>
                <w:numId w:val="24"/>
              </w:numPr>
              <w:spacing w:after="120"/>
              <w:rPr>
                <w:sz w:val="20"/>
                <w:szCs w:val="20"/>
                <w:lang w:eastAsia="zh-CN"/>
              </w:rPr>
            </w:pPr>
            <w:r w:rsidRPr="002B4A1F">
              <w:rPr>
                <w:sz w:val="20"/>
                <w:szCs w:val="20"/>
                <w:lang w:eastAsia="zh-CN"/>
              </w:rPr>
              <w:t>Case 2: support TDM among multiple group-common PDSCHs in a slot</w:t>
            </w:r>
          </w:p>
          <w:p w14:paraId="710765F5" w14:textId="77777777" w:rsidR="002B4A1F" w:rsidRPr="002B4A1F" w:rsidRDefault="002B4A1F" w:rsidP="002B4A1F">
            <w:pPr>
              <w:pStyle w:val="ListParagraph"/>
              <w:widowControl w:val="0"/>
              <w:numPr>
                <w:ilvl w:val="0"/>
                <w:numId w:val="24"/>
              </w:numPr>
              <w:spacing w:after="120"/>
              <w:rPr>
                <w:sz w:val="20"/>
                <w:szCs w:val="20"/>
                <w:lang w:eastAsia="zh-CN"/>
              </w:rPr>
            </w:pPr>
            <w:r w:rsidRPr="002B4A1F">
              <w:rPr>
                <w:sz w:val="20"/>
                <w:szCs w:val="20"/>
                <w:lang w:eastAsia="zh-CN"/>
              </w:rPr>
              <w:t>Case 3: support TDM between multiple TDMed unicast PDSCHs and multiple TDMed group-common PDSCHs in a slot</w:t>
            </w:r>
          </w:p>
          <w:p w14:paraId="43DF6955" w14:textId="77777777" w:rsidR="002B4A1F" w:rsidRPr="002B4A1F" w:rsidRDefault="002B4A1F" w:rsidP="002B4A1F">
            <w:pPr>
              <w:pStyle w:val="ListParagraph"/>
              <w:widowControl w:val="0"/>
              <w:numPr>
                <w:ilvl w:val="0"/>
                <w:numId w:val="24"/>
              </w:numPr>
              <w:spacing w:after="120"/>
              <w:rPr>
                <w:sz w:val="20"/>
                <w:szCs w:val="20"/>
                <w:lang w:eastAsia="zh-CN"/>
              </w:rPr>
            </w:pPr>
            <w:r w:rsidRPr="002B4A1F">
              <w:rPr>
                <w:sz w:val="20"/>
                <w:szCs w:val="20"/>
                <w:lang w:eastAsia="zh-CN"/>
              </w:rPr>
              <w:t>Case 4: support FDM between multiple TDMed unicast PDSCHs and multiple TDMed group-common PDSCHs in a slot</w:t>
            </w:r>
          </w:p>
          <w:p w14:paraId="6CD8A922" w14:textId="77777777" w:rsidR="002B4A1F" w:rsidRPr="002B4A1F" w:rsidRDefault="002B4A1F" w:rsidP="002B4A1F">
            <w:pPr>
              <w:pStyle w:val="ListParagraph"/>
              <w:widowControl w:val="0"/>
              <w:numPr>
                <w:ilvl w:val="0"/>
                <w:numId w:val="24"/>
              </w:numPr>
              <w:spacing w:after="120"/>
              <w:rPr>
                <w:sz w:val="20"/>
                <w:szCs w:val="20"/>
                <w:lang w:eastAsia="zh-CN"/>
              </w:rPr>
            </w:pPr>
            <w:r w:rsidRPr="002B4A1F">
              <w:rPr>
                <w:sz w:val="20"/>
                <w:szCs w:val="20"/>
                <w:lang w:eastAsia="zh-CN"/>
              </w:rPr>
              <w:t>Case 5: support FDM among multiple group-common PDSCHs in a slot</w:t>
            </w:r>
          </w:p>
          <w:p w14:paraId="1C8E97B0" w14:textId="390C829D" w:rsidR="002B4A1F" w:rsidRPr="002B4A1F" w:rsidRDefault="002B4A1F" w:rsidP="00A94E8C">
            <w:pPr>
              <w:pStyle w:val="ListParagraph"/>
              <w:widowControl w:val="0"/>
              <w:numPr>
                <w:ilvl w:val="0"/>
                <w:numId w:val="24"/>
              </w:numPr>
              <w:spacing w:after="120"/>
              <w:rPr>
                <w:sz w:val="20"/>
                <w:szCs w:val="20"/>
                <w:lang w:eastAsia="zh-CN"/>
              </w:rPr>
            </w:pPr>
            <w:r w:rsidRPr="002B4A1F">
              <w:rPr>
                <w:sz w:val="20"/>
                <w:szCs w:val="20"/>
                <w:lang w:eastAsia="zh-CN"/>
              </w:rPr>
              <w:t>FFS: maximum number of PDSCHs in a slot simultaneous received per UE</w:t>
            </w:r>
          </w:p>
          <w:p w14:paraId="41232A90" w14:textId="46E81FEE" w:rsidR="00A94E8C" w:rsidRPr="002B4A1F" w:rsidRDefault="00A94E8C" w:rsidP="00A94E8C">
            <w:pPr>
              <w:rPr>
                <w:sz w:val="20"/>
                <w:szCs w:val="20"/>
                <w:lang w:val="en-US" w:eastAsia="x-none"/>
              </w:rPr>
            </w:pPr>
            <w:r w:rsidRPr="00A94E8C">
              <w:rPr>
                <w:sz w:val="20"/>
                <w:szCs w:val="20"/>
                <w:highlight w:val="green"/>
                <w:lang w:eastAsia="x-none"/>
              </w:rPr>
              <w:t>Agreement:</w:t>
            </w:r>
            <w:r w:rsidR="002B4A1F">
              <w:rPr>
                <w:sz w:val="20"/>
                <w:szCs w:val="20"/>
                <w:lang w:val="en-US" w:eastAsia="x-none"/>
              </w:rPr>
              <w:t>[</w:t>
            </w:r>
            <w:r w:rsidR="00FC389C">
              <w:rPr>
                <w:sz w:val="20"/>
                <w:szCs w:val="20"/>
                <w:lang w:val="en-US" w:eastAsia="x-none"/>
              </w:rPr>
              <w:t>4</w:t>
            </w:r>
            <w:r w:rsidR="002B4A1F">
              <w:rPr>
                <w:sz w:val="20"/>
                <w:szCs w:val="20"/>
                <w:lang w:val="en-US" w:eastAsia="x-none"/>
              </w:rPr>
              <w:t>]</w:t>
            </w:r>
          </w:p>
          <w:p w14:paraId="7D24A9DB" w14:textId="77777777" w:rsidR="00A94E8C" w:rsidRPr="00A94E8C" w:rsidRDefault="00A94E8C" w:rsidP="00A94E8C">
            <w:pPr>
              <w:rPr>
                <w:sz w:val="20"/>
                <w:szCs w:val="20"/>
              </w:rPr>
            </w:pPr>
            <w:r w:rsidRPr="00A94E8C">
              <w:rPr>
                <w:sz w:val="20"/>
                <w:szCs w:val="20"/>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029524B5" w14:textId="77777777" w:rsidR="00A94E8C" w:rsidRPr="00A94E8C" w:rsidRDefault="00A94E8C" w:rsidP="00A94E8C">
            <w:pPr>
              <w:pStyle w:val="ListParagraph"/>
              <w:numPr>
                <w:ilvl w:val="0"/>
                <w:numId w:val="17"/>
              </w:numPr>
              <w:overflowPunct w:val="0"/>
              <w:autoSpaceDE w:val="0"/>
              <w:autoSpaceDN w:val="0"/>
              <w:adjustRightInd w:val="0"/>
              <w:textAlignment w:val="baseline"/>
              <w:rPr>
                <w:rFonts w:eastAsia="Times New Roman"/>
                <w:sz w:val="20"/>
                <w:szCs w:val="20"/>
                <w:lang w:eastAsia="zh-CN"/>
              </w:rPr>
            </w:pPr>
            <w:r w:rsidRPr="00A94E8C">
              <w:rPr>
                <w:rFonts w:eastAsia="Times New Roman"/>
                <w:sz w:val="20"/>
                <w:szCs w:val="20"/>
                <w:lang w:eastAsia="zh-CN"/>
              </w:rPr>
              <w:t xml:space="preserve">FFS details of Type-1 HARQ-ACK codebook construction for FDM-ed unicast and multicast. </w:t>
            </w:r>
          </w:p>
          <w:p w14:paraId="2EADE7D5" w14:textId="77777777" w:rsidR="00A94E8C" w:rsidRPr="00A94E8C" w:rsidRDefault="00A94E8C" w:rsidP="00A94E8C">
            <w:pPr>
              <w:pStyle w:val="ListParagraph"/>
              <w:numPr>
                <w:ilvl w:val="0"/>
                <w:numId w:val="17"/>
              </w:numPr>
              <w:overflowPunct w:val="0"/>
              <w:autoSpaceDE w:val="0"/>
              <w:autoSpaceDN w:val="0"/>
              <w:adjustRightInd w:val="0"/>
              <w:textAlignment w:val="baseline"/>
              <w:rPr>
                <w:rFonts w:eastAsia="Times New Roman"/>
                <w:sz w:val="20"/>
                <w:szCs w:val="20"/>
                <w:lang w:eastAsia="zh-CN"/>
              </w:rPr>
            </w:pPr>
            <w:r w:rsidRPr="00A94E8C">
              <w:rPr>
                <w:rFonts w:eastAsia="Times New Roman"/>
                <w:sz w:val="20"/>
                <w:szCs w:val="20"/>
                <w:lang w:eastAsia="zh-CN"/>
              </w:rPr>
              <w:t xml:space="preserve">FFS details of Type-1 HARQ-ACK codebook construction for FDM-ed multicast and multicast if supported. </w:t>
            </w:r>
          </w:p>
          <w:p w14:paraId="5019E3EB" w14:textId="43F11D08" w:rsidR="00A94E8C" w:rsidRPr="00A94E8C" w:rsidRDefault="00A94E8C" w:rsidP="00A94E8C">
            <w:pPr>
              <w:pStyle w:val="ListParagraph"/>
              <w:numPr>
                <w:ilvl w:val="0"/>
                <w:numId w:val="17"/>
              </w:numPr>
              <w:overflowPunct w:val="0"/>
              <w:autoSpaceDE w:val="0"/>
              <w:autoSpaceDN w:val="0"/>
              <w:adjustRightInd w:val="0"/>
              <w:textAlignment w:val="baseline"/>
              <w:rPr>
                <w:rFonts w:eastAsia="Times New Roman"/>
                <w:sz w:val="20"/>
                <w:szCs w:val="20"/>
                <w:lang w:eastAsia="zh-CN"/>
              </w:rPr>
            </w:pPr>
            <w:r w:rsidRPr="00A94E8C">
              <w:rPr>
                <w:rFonts w:eastAsia="Times New Roman"/>
                <w:sz w:val="20"/>
                <w:szCs w:val="20"/>
                <w:lang w:eastAsia="zh-CN"/>
              </w:rPr>
              <w:t xml:space="preserve">FFS: whether/how to optimize the Type-1 codebook construction to reduce the HARQ-ACK feedback payload size. </w:t>
            </w:r>
          </w:p>
        </w:tc>
      </w:tr>
    </w:tbl>
    <w:p w14:paraId="05EEF271" w14:textId="75C9C581" w:rsidR="00CD3D27" w:rsidRDefault="00CD3D27" w:rsidP="000C074D">
      <w:pPr>
        <w:spacing w:before="120" w:after="120"/>
        <w:rPr>
          <w:rFonts w:ascii="New York" w:eastAsia="SimSun" w:hAnsi="New York"/>
          <w:b/>
          <w:bCs/>
          <w:sz w:val="20"/>
          <w:szCs w:val="20"/>
          <w:lang w:val="en-US"/>
        </w:rPr>
      </w:pPr>
      <w:r w:rsidRPr="00CD3D27">
        <w:rPr>
          <w:b/>
          <w:bCs/>
          <w:color w:val="000000"/>
          <w:sz w:val="20"/>
          <w:szCs w:val="20"/>
          <w:lang w:val="en-US"/>
        </w:rPr>
        <w:lastRenderedPageBreak/>
        <w:t xml:space="preserve">Proposal </w:t>
      </w:r>
      <w:r w:rsidR="00060927">
        <w:rPr>
          <w:b/>
          <w:bCs/>
          <w:color w:val="000000"/>
          <w:sz w:val="20"/>
          <w:szCs w:val="20"/>
          <w:lang w:val="en-US"/>
        </w:rPr>
        <w:t>2</w:t>
      </w:r>
      <w:r w:rsidRPr="00CD3D27">
        <w:rPr>
          <w:b/>
          <w:bCs/>
          <w:color w:val="000000"/>
          <w:sz w:val="20"/>
          <w:szCs w:val="20"/>
          <w:lang w:val="en-US"/>
        </w:rPr>
        <w:t xml:space="preserve">: </w:t>
      </w:r>
      <w:r w:rsidR="00060927" w:rsidRPr="00060927">
        <w:rPr>
          <w:rFonts w:ascii="New York" w:eastAsia="SimSun" w:hAnsi="New York"/>
          <w:b/>
          <w:bCs/>
          <w:sz w:val="20"/>
          <w:szCs w:val="20"/>
          <w:lang w:val="en-US"/>
        </w:rPr>
        <w:t xml:space="preserve">FDM between multiple </w:t>
      </w:r>
      <w:proofErr w:type="spellStart"/>
      <w:r w:rsidR="00060927" w:rsidRPr="00060927">
        <w:rPr>
          <w:rFonts w:ascii="New York" w:eastAsia="SimSun" w:hAnsi="New York"/>
          <w:b/>
          <w:bCs/>
          <w:sz w:val="20"/>
          <w:szCs w:val="20"/>
          <w:lang w:val="en-US"/>
        </w:rPr>
        <w:t>TDMed</w:t>
      </w:r>
      <w:proofErr w:type="spellEnd"/>
      <w:r w:rsidR="00060927" w:rsidRPr="00060927">
        <w:rPr>
          <w:rFonts w:ascii="New York" w:eastAsia="SimSun" w:hAnsi="New York"/>
          <w:b/>
          <w:bCs/>
          <w:sz w:val="20"/>
          <w:szCs w:val="20"/>
          <w:lang w:val="en-US"/>
        </w:rPr>
        <w:t xml:space="preserve"> unicast PDSCHs and multiple </w:t>
      </w:r>
      <w:proofErr w:type="spellStart"/>
      <w:r w:rsidR="00060927" w:rsidRPr="00060927">
        <w:rPr>
          <w:rFonts w:ascii="New York" w:eastAsia="SimSun" w:hAnsi="New York"/>
          <w:b/>
          <w:bCs/>
          <w:sz w:val="20"/>
          <w:szCs w:val="20"/>
          <w:lang w:val="en-US"/>
        </w:rPr>
        <w:t>TDMed</w:t>
      </w:r>
      <w:proofErr w:type="spellEnd"/>
      <w:r w:rsidR="00060927" w:rsidRPr="00060927">
        <w:rPr>
          <w:rFonts w:ascii="New York" w:eastAsia="SimSun" w:hAnsi="New York"/>
          <w:b/>
          <w:bCs/>
          <w:sz w:val="20"/>
          <w:szCs w:val="20"/>
          <w:lang w:val="en-US"/>
        </w:rPr>
        <w:t xml:space="preserve"> group-common PDSCHs in a slot can be supported according to UE capability</w:t>
      </w:r>
      <w:r w:rsidRPr="00CD3D27">
        <w:rPr>
          <w:rFonts w:ascii="New York" w:eastAsia="SimSun" w:hAnsi="New York"/>
          <w:b/>
          <w:bCs/>
          <w:sz w:val="20"/>
          <w:szCs w:val="20"/>
          <w:lang w:val="en-US"/>
        </w:rPr>
        <w:t>.</w:t>
      </w:r>
    </w:p>
    <w:p w14:paraId="3B07C514" w14:textId="66A1A90C" w:rsidR="00787C9E" w:rsidRDefault="00787C9E" w:rsidP="00787C9E">
      <w:pPr>
        <w:spacing w:before="120" w:after="120"/>
        <w:rPr>
          <w:rFonts w:ascii="New York" w:eastAsia="SimSun" w:hAnsi="New York"/>
          <w:sz w:val="20"/>
          <w:szCs w:val="20"/>
          <w:lang w:val="en-US"/>
        </w:rPr>
      </w:pPr>
      <w:r>
        <w:rPr>
          <w:rFonts w:ascii="New York" w:eastAsia="SimSun" w:hAnsi="New York"/>
          <w:sz w:val="20"/>
          <w:szCs w:val="20"/>
          <w:lang w:val="en-US"/>
        </w:rPr>
        <w:t xml:space="preserve">If </w:t>
      </w:r>
      <w:r w:rsidRPr="00060927">
        <w:rPr>
          <w:rFonts w:ascii="New York" w:eastAsia="SimSun" w:hAnsi="New York"/>
          <w:sz w:val="20"/>
          <w:szCs w:val="20"/>
          <w:lang w:val="en-US"/>
        </w:rPr>
        <w:t xml:space="preserve">FDM between multiple </w:t>
      </w:r>
      <w:proofErr w:type="spellStart"/>
      <w:r w:rsidRPr="00060927">
        <w:rPr>
          <w:rFonts w:ascii="New York" w:eastAsia="SimSun" w:hAnsi="New York"/>
          <w:sz w:val="20"/>
          <w:szCs w:val="20"/>
          <w:lang w:val="en-US"/>
        </w:rPr>
        <w:t>TDMed</w:t>
      </w:r>
      <w:proofErr w:type="spellEnd"/>
      <w:r w:rsidRPr="00060927">
        <w:rPr>
          <w:rFonts w:ascii="New York" w:eastAsia="SimSun" w:hAnsi="New York"/>
          <w:sz w:val="20"/>
          <w:szCs w:val="20"/>
          <w:lang w:val="en-US"/>
        </w:rPr>
        <w:t xml:space="preserve"> unicast PDSCHs and multiple </w:t>
      </w:r>
      <w:proofErr w:type="spellStart"/>
      <w:r w:rsidRPr="00060927">
        <w:rPr>
          <w:rFonts w:ascii="New York" w:eastAsia="SimSun" w:hAnsi="New York"/>
          <w:sz w:val="20"/>
          <w:szCs w:val="20"/>
          <w:lang w:val="en-US"/>
        </w:rPr>
        <w:t>TDMed</w:t>
      </w:r>
      <w:proofErr w:type="spellEnd"/>
      <w:r w:rsidRPr="00060927">
        <w:rPr>
          <w:rFonts w:ascii="New York" w:eastAsia="SimSun" w:hAnsi="New York"/>
          <w:sz w:val="20"/>
          <w:szCs w:val="20"/>
          <w:lang w:val="en-US"/>
        </w:rPr>
        <w:t xml:space="preserve"> group-common PDSCHs in a slot </w:t>
      </w:r>
      <w:r>
        <w:rPr>
          <w:rFonts w:ascii="New York" w:eastAsia="SimSun" w:hAnsi="New York"/>
          <w:sz w:val="20"/>
          <w:szCs w:val="20"/>
          <w:lang w:val="en-US"/>
        </w:rPr>
        <w:t>is</w:t>
      </w:r>
      <w:r w:rsidRPr="00060927">
        <w:rPr>
          <w:rFonts w:ascii="New York" w:eastAsia="SimSun" w:hAnsi="New York"/>
          <w:sz w:val="20"/>
          <w:szCs w:val="20"/>
          <w:lang w:val="en-US"/>
        </w:rPr>
        <w:t xml:space="preserve"> supported</w:t>
      </w:r>
      <w:r>
        <w:rPr>
          <w:rFonts w:ascii="New York" w:eastAsia="SimSun" w:hAnsi="New York"/>
          <w:sz w:val="20"/>
          <w:szCs w:val="20"/>
          <w:lang w:val="en-US"/>
        </w:rPr>
        <w:t xml:space="preserve">, </w:t>
      </w:r>
      <w:r w:rsidR="00EB00E5">
        <w:rPr>
          <w:rFonts w:ascii="New York" w:eastAsia="SimSun" w:hAnsi="New York"/>
          <w:sz w:val="20"/>
          <w:szCs w:val="20"/>
          <w:lang w:val="en-US"/>
        </w:rPr>
        <w:t>then</w:t>
      </w:r>
      <w:r>
        <w:rPr>
          <w:rFonts w:ascii="New York" w:eastAsia="SimSun" w:hAnsi="New York"/>
          <w:sz w:val="20"/>
          <w:szCs w:val="20"/>
          <w:lang w:val="en-US"/>
        </w:rPr>
        <w:t xml:space="preserve"> HARQ-ACK codebooks </w:t>
      </w:r>
      <w:r w:rsidR="00EB00E5">
        <w:rPr>
          <w:rFonts w:ascii="New York" w:eastAsia="SimSun" w:hAnsi="New York"/>
          <w:sz w:val="20"/>
          <w:szCs w:val="20"/>
          <w:lang w:val="en-US"/>
        </w:rPr>
        <w:t xml:space="preserve">can be constructed </w:t>
      </w:r>
      <w:r w:rsidR="00EB00E5">
        <w:rPr>
          <w:rFonts w:ascii="New York" w:eastAsia="SimSun" w:hAnsi="New York"/>
          <w:sz w:val="20"/>
          <w:szCs w:val="20"/>
          <w:lang w:val="en-US"/>
        </w:rPr>
        <w:t xml:space="preserve">separately </w:t>
      </w:r>
      <w:r>
        <w:rPr>
          <w:rFonts w:ascii="New York" w:eastAsia="SimSun" w:hAnsi="New York"/>
          <w:sz w:val="20"/>
          <w:szCs w:val="20"/>
          <w:lang w:val="en-US"/>
        </w:rPr>
        <w:t>for multicast PDSCH and unicast PDSCH</w:t>
      </w:r>
      <w:r w:rsidR="00EB00E5">
        <w:rPr>
          <w:rFonts w:ascii="New York" w:eastAsia="SimSun" w:hAnsi="New York"/>
          <w:sz w:val="20"/>
          <w:szCs w:val="20"/>
          <w:lang w:val="en-US"/>
        </w:rPr>
        <w:t xml:space="preserve">, sub-codebooks for unicast and multicast are concatenated. </w:t>
      </w:r>
    </w:p>
    <w:p w14:paraId="27CE4EE7" w14:textId="396B1550" w:rsidR="00787C9E" w:rsidRPr="00060927" w:rsidRDefault="00787C9E" w:rsidP="00787C9E">
      <w:pPr>
        <w:spacing w:before="120" w:after="120"/>
        <w:rPr>
          <w:rFonts w:ascii="New York" w:eastAsia="SimSun" w:hAnsi="New York"/>
          <w:b/>
          <w:bCs/>
          <w:sz w:val="20"/>
          <w:szCs w:val="20"/>
          <w:lang w:val="en-US"/>
        </w:rPr>
      </w:pPr>
      <w:r w:rsidRPr="00CD3D27">
        <w:rPr>
          <w:b/>
          <w:bCs/>
          <w:color w:val="000000"/>
          <w:sz w:val="20"/>
          <w:szCs w:val="20"/>
          <w:lang w:val="en-US"/>
        </w:rPr>
        <w:t xml:space="preserve">Proposal </w:t>
      </w:r>
      <w:r>
        <w:rPr>
          <w:b/>
          <w:bCs/>
          <w:color w:val="000000"/>
          <w:sz w:val="20"/>
          <w:szCs w:val="20"/>
          <w:lang w:val="en-US"/>
        </w:rPr>
        <w:t>3</w:t>
      </w:r>
      <w:r w:rsidRPr="00CD3D27">
        <w:rPr>
          <w:b/>
          <w:bCs/>
          <w:color w:val="000000"/>
          <w:sz w:val="20"/>
          <w:szCs w:val="20"/>
          <w:lang w:val="en-US"/>
        </w:rPr>
        <w:t>:</w:t>
      </w:r>
      <w:r w:rsidRPr="00787C9E">
        <w:rPr>
          <w:rFonts w:ascii="New York" w:eastAsia="SimSun" w:hAnsi="New York"/>
          <w:b/>
          <w:bCs/>
          <w:sz w:val="20"/>
          <w:szCs w:val="20"/>
          <w:lang w:val="en-US"/>
        </w:rPr>
        <w:t xml:space="preserve"> </w:t>
      </w:r>
      <w:r>
        <w:rPr>
          <w:rFonts w:ascii="New York" w:eastAsia="SimSun" w:hAnsi="New York"/>
          <w:b/>
          <w:bCs/>
          <w:sz w:val="20"/>
          <w:szCs w:val="20"/>
          <w:lang w:val="en-US"/>
        </w:rPr>
        <w:t xml:space="preserve">For Type-1 HARQ-ACK feedback, </w:t>
      </w:r>
      <w:r w:rsidR="00046F07">
        <w:rPr>
          <w:rFonts w:ascii="New York" w:eastAsia="SimSun" w:hAnsi="New York"/>
          <w:b/>
          <w:bCs/>
          <w:sz w:val="20"/>
          <w:szCs w:val="20"/>
          <w:lang w:val="en-US"/>
        </w:rPr>
        <w:t xml:space="preserve">to support FDM reception of unicast and multicast PDSCH, </w:t>
      </w:r>
      <w:r w:rsidRPr="00060927">
        <w:rPr>
          <w:rFonts w:ascii="New York" w:eastAsia="SimSun" w:hAnsi="New York"/>
          <w:b/>
          <w:bCs/>
          <w:sz w:val="20"/>
          <w:szCs w:val="20"/>
          <w:lang w:val="en-US"/>
        </w:rPr>
        <w:t>HARQ-ACK codebook are determined separately for unicast PDSCH and group common PDSCH</w:t>
      </w:r>
      <w:r w:rsidR="00A90B03">
        <w:rPr>
          <w:rFonts w:ascii="New York" w:eastAsia="SimSun" w:hAnsi="New York"/>
          <w:b/>
          <w:bCs/>
          <w:sz w:val="20"/>
          <w:szCs w:val="20"/>
          <w:lang w:val="en-US"/>
        </w:rPr>
        <w:t>.</w:t>
      </w:r>
    </w:p>
    <w:p w14:paraId="3B7DA75B" w14:textId="5F200D4A" w:rsidR="007B047E" w:rsidRPr="00CD3D27" w:rsidRDefault="007B047E" w:rsidP="007B047E">
      <w:pPr>
        <w:spacing w:before="120" w:after="120"/>
        <w:rPr>
          <w:b/>
          <w:bCs/>
          <w:color w:val="000000"/>
          <w:sz w:val="20"/>
          <w:szCs w:val="20"/>
          <w:u w:val="single"/>
          <w:lang w:val="en-US"/>
        </w:rPr>
      </w:pPr>
      <w:r w:rsidRPr="00CD3D27">
        <w:rPr>
          <w:b/>
          <w:bCs/>
          <w:color w:val="000000"/>
          <w:sz w:val="20"/>
          <w:szCs w:val="20"/>
          <w:u w:val="single"/>
          <w:lang w:val="en-US"/>
        </w:rPr>
        <w:t xml:space="preserve">HARQ feedback </w:t>
      </w:r>
      <w:r>
        <w:rPr>
          <w:b/>
          <w:bCs/>
          <w:color w:val="000000"/>
          <w:sz w:val="20"/>
          <w:szCs w:val="20"/>
          <w:u w:val="single"/>
          <w:lang w:val="en-US"/>
        </w:rPr>
        <w:t>enabling/disabling</w:t>
      </w:r>
    </w:p>
    <w:p w14:paraId="7CE7D6E4" w14:textId="5DF15094" w:rsidR="0004674C" w:rsidRDefault="007B047E" w:rsidP="000C074D">
      <w:pPr>
        <w:spacing w:before="120" w:after="120"/>
        <w:rPr>
          <w:color w:val="000000"/>
          <w:sz w:val="20"/>
          <w:szCs w:val="20"/>
          <w:lang w:val="en-US"/>
        </w:rPr>
      </w:pPr>
      <w:r>
        <w:rPr>
          <w:color w:val="000000"/>
          <w:sz w:val="20"/>
          <w:szCs w:val="20"/>
          <w:lang w:val="en-US"/>
        </w:rPr>
        <w:t>The following agreements were reached for enabling/disabling HARQ-ACK feedback</w:t>
      </w:r>
      <w:r w:rsidR="00203C96">
        <w:rPr>
          <w:color w:val="000000"/>
          <w:sz w:val="20"/>
          <w:szCs w:val="20"/>
          <w:lang w:val="en-US"/>
        </w:rPr>
        <w:t>.</w:t>
      </w:r>
      <w:r>
        <w:rPr>
          <w:color w:val="000000"/>
          <w:sz w:val="20"/>
          <w:szCs w:val="20"/>
          <w:lang w:val="en-US"/>
        </w:rPr>
        <w:t xml:space="preserve"> There are mainly two options on the table.</w:t>
      </w:r>
      <w:r w:rsidR="00880B5E">
        <w:rPr>
          <w:color w:val="000000"/>
          <w:sz w:val="20"/>
          <w:szCs w:val="20"/>
          <w:lang w:val="en-US"/>
        </w:rPr>
        <w:t xml:space="preserve"> For option3, it’s combination of RRC signaling and DCI indication, the benefit is the HARQ-ACK feedback can be enabled or disabled dynamically. But this flexibility </w:t>
      </w:r>
      <w:r w:rsidR="006E08FD">
        <w:rPr>
          <w:color w:val="000000"/>
          <w:sz w:val="20"/>
          <w:szCs w:val="20"/>
          <w:lang w:val="en-US"/>
        </w:rPr>
        <w:t>is really limited for PTM scheme 1,</w:t>
      </w:r>
      <w:r w:rsidR="0004674C">
        <w:rPr>
          <w:color w:val="000000"/>
          <w:sz w:val="20"/>
          <w:szCs w:val="20"/>
          <w:lang w:val="en-US"/>
        </w:rPr>
        <w:t xml:space="preserve"> the group common DCI will apply to multiple UEs, it’s hard to predict that </w:t>
      </w:r>
      <w:r w:rsidR="006E08FD">
        <w:rPr>
          <w:color w:val="000000"/>
          <w:sz w:val="20"/>
          <w:szCs w:val="20"/>
          <w:lang w:val="en-US"/>
        </w:rPr>
        <w:t xml:space="preserve">all the UEs in the group </w:t>
      </w:r>
      <w:r w:rsidR="0004674C">
        <w:rPr>
          <w:color w:val="000000"/>
          <w:sz w:val="20"/>
          <w:szCs w:val="20"/>
          <w:lang w:val="en-US"/>
        </w:rPr>
        <w:t>will</w:t>
      </w:r>
      <w:r w:rsidR="006E08FD">
        <w:rPr>
          <w:color w:val="000000"/>
          <w:sz w:val="20"/>
          <w:szCs w:val="20"/>
          <w:lang w:val="en-US"/>
        </w:rPr>
        <w:t xml:space="preserve"> receive the group-common PDSCH correctly</w:t>
      </w:r>
      <w:r w:rsidR="0004674C">
        <w:rPr>
          <w:color w:val="000000"/>
          <w:sz w:val="20"/>
          <w:szCs w:val="20"/>
          <w:lang w:val="en-US"/>
        </w:rPr>
        <w:t xml:space="preserve"> at the same time</w:t>
      </w:r>
      <w:r w:rsidR="006E08FD">
        <w:rPr>
          <w:color w:val="000000"/>
          <w:sz w:val="20"/>
          <w:szCs w:val="20"/>
          <w:lang w:val="en-US"/>
        </w:rPr>
        <w:t xml:space="preserve">. </w:t>
      </w:r>
      <w:r w:rsidR="0004674C">
        <w:rPr>
          <w:color w:val="000000"/>
          <w:sz w:val="20"/>
          <w:szCs w:val="20"/>
          <w:lang w:val="en-US"/>
        </w:rPr>
        <w:t xml:space="preserve">For Option 2, it’s UE specific configuration, </w:t>
      </w:r>
      <w:proofErr w:type="spellStart"/>
      <w:r w:rsidR="0004674C">
        <w:rPr>
          <w:color w:val="000000"/>
          <w:sz w:val="20"/>
          <w:szCs w:val="20"/>
          <w:lang w:val="en-US"/>
        </w:rPr>
        <w:t>gNB</w:t>
      </w:r>
      <w:proofErr w:type="spellEnd"/>
      <w:r w:rsidR="0004674C">
        <w:rPr>
          <w:color w:val="000000"/>
          <w:sz w:val="20"/>
          <w:szCs w:val="20"/>
          <w:lang w:val="en-US"/>
        </w:rPr>
        <w:t xml:space="preserve"> could get the UE channel information from CSI report to determine whether HARQ-ACK feedback is enabled or disabled. </w:t>
      </w:r>
    </w:p>
    <w:p w14:paraId="714DB535" w14:textId="22E2E71D" w:rsidR="004669AE" w:rsidRDefault="0004674C" w:rsidP="000C074D">
      <w:pPr>
        <w:spacing w:before="120" w:after="120"/>
        <w:rPr>
          <w:color w:val="000000"/>
          <w:sz w:val="20"/>
          <w:szCs w:val="20"/>
          <w:lang w:val="en-US"/>
        </w:rPr>
      </w:pPr>
      <w:r>
        <w:rPr>
          <w:color w:val="000000"/>
          <w:sz w:val="20"/>
          <w:szCs w:val="20"/>
          <w:lang w:val="en-US"/>
        </w:rPr>
        <w:t>For PTP transmission, the HAR</w:t>
      </w:r>
      <w:r w:rsidR="000A6EFA">
        <w:rPr>
          <w:color w:val="000000"/>
          <w:sz w:val="20"/>
          <w:szCs w:val="20"/>
          <w:lang w:val="en-US"/>
        </w:rPr>
        <w:t>Q-ACK feedback is always enabled which is the same as the unicast PDSCH reception.</w:t>
      </w:r>
    </w:p>
    <w:tbl>
      <w:tblPr>
        <w:tblStyle w:val="TableGrid"/>
        <w:tblW w:w="0" w:type="auto"/>
        <w:tblLook w:val="04A0" w:firstRow="1" w:lastRow="0" w:firstColumn="1" w:lastColumn="0" w:noHBand="0" w:noVBand="1"/>
      </w:tblPr>
      <w:tblGrid>
        <w:gridCol w:w="9629"/>
      </w:tblGrid>
      <w:tr w:rsidR="00203C96" w14:paraId="7B93863C" w14:textId="77777777" w:rsidTr="00203C96">
        <w:tc>
          <w:tcPr>
            <w:tcW w:w="9629" w:type="dxa"/>
          </w:tcPr>
          <w:p w14:paraId="52403974" w14:textId="1F5B73D6" w:rsidR="00A94E8C" w:rsidRPr="00A75124" w:rsidRDefault="00A94E8C" w:rsidP="00A94E8C">
            <w:pPr>
              <w:autoSpaceDE w:val="0"/>
              <w:autoSpaceDN w:val="0"/>
              <w:rPr>
                <w:sz w:val="20"/>
                <w:szCs w:val="20"/>
                <w:lang w:val="en-US"/>
              </w:rPr>
            </w:pPr>
            <w:bookmarkStart w:id="2" w:name="_Hlk63422390"/>
            <w:r w:rsidRPr="00A94E8C">
              <w:rPr>
                <w:sz w:val="20"/>
                <w:szCs w:val="20"/>
                <w:highlight w:val="green"/>
              </w:rPr>
              <w:t>Agreement:</w:t>
            </w:r>
            <w:r w:rsidR="00A75124">
              <w:rPr>
                <w:sz w:val="20"/>
                <w:szCs w:val="20"/>
                <w:lang w:val="en-US"/>
              </w:rPr>
              <w:t>[4]</w:t>
            </w:r>
          </w:p>
          <w:p w14:paraId="04E8FA93" w14:textId="77777777" w:rsidR="00A94E8C" w:rsidRPr="00A94E8C" w:rsidRDefault="00A94E8C" w:rsidP="00A94E8C">
            <w:pPr>
              <w:autoSpaceDE w:val="0"/>
              <w:autoSpaceDN w:val="0"/>
              <w:rPr>
                <w:rFonts w:eastAsia="SimSun"/>
                <w:sz w:val="20"/>
                <w:szCs w:val="20"/>
              </w:rPr>
            </w:pPr>
            <w:bookmarkStart w:id="3" w:name="_Hlk63422353"/>
            <w:r w:rsidRPr="00A94E8C">
              <w:rPr>
                <w:sz w:val="20"/>
                <w:szCs w:val="20"/>
              </w:rPr>
              <w:t xml:space="preserve">For enabling/disabling HARQ-ACK feedback for RRC_CONNECTED UE receiving multicast, </w:t>
            </w:r>
          </w:p>
          <w:p w14:paraId="78E18E4C" w14:textId="77777777" w:rsidR="00A94E8C" w:rsidRPr="00A94E8C" w:rsidRDefault="00A94E8C" w:rsidP="00A94E8C">
            <w:pPr>
              <w:numPr>
                <w:ilvl w:val="0"/>
                <w:numId w:val="20"/>
              </w:numPr>
              <w:overflowPunct w:val="0"/>
              <w:autoSpaceDE w:val="0"/>
              <w:autoSpaceDN w:val="0"/>
              <w:snapToGrid w:val="0"/>
              <w:contextualSpacing/>
              <w:rPr>
                <w:sz w:val="20"/>
                <w:szCs w:val="20"/>
              </w:rPr>
            </w:pPr>
            <w:r w:rsidRPr="00A94E8C">
              <w:rPr>
                <w:sz w:val="20"/>
                <w:szCs w:val="20"/>
              </w:rPr>
              <w:t>Option 3: RRC signalling configures the enabling/ disabling function of DCI indicating the enabling /disabling HARQ-ACK feedback.</w:t>
            </w:r>
          </w:p>
          <w:p w14:paraId="001D02F5" w14:textId="77777777" w:rsidR="00A94E8C" w:rsidRPr="00A94E8C" w:rsidRDefault="00A94E8C" w:rsidP="00A94E8C">
            <w:pPr>
              <w:numPr>
                <w:ilvl w:val="1"/>
                <w:numId w:val="21"/>
              </w:numPr>
              <w:overflowPunct w:val="0"/>
              <w:autoSpaceDE w:val="0"/>
              <w:autoSpaceDN w:val="0"/>
              <w:snapToGrid w:val="0"/>
              <w:contextualSpacing/>
              <w:rPr>
                <w:sz w:val="20"/>
                <w:szCs w:val="20"/>
              </w:rPr>
            </w:pPr>
            <w:r w:rsidRPr="00A94E8C">
              <w:rPr>
                <w:sz w:val="20"/>
                <w:szCs w:val="20"/>
              </w:rPr>
              <w:t xml:space="preserve">If RRC signalling configures the function, DCI indicates (explicitly or implicitly) whether HARQ-ACK feedback is enabled/disabled </w:t>
            </w:r>
          </w:p>
          <w:p w14:paraId="74072287" w14:textId="77777777" w:rsidR="00A94E8C" w:rsidRPr="00A94E8C" w:rsidRDefault="00A94E8C" w:rsidP="00A94E8C">
            <w:pPr>
              <w:numPr>
                <w:ilvl w:val="2"/>
                <w:numId w:val="21"/>
              </w:numPr>
              <w:overflowPunct w:val="0"/>
              <w:autoSpaceDE w:val="0"/>
              <w:autoSpaceDN w:val="0"/>
              <w:snapToGrid w:val="0"/>
              <w:contextualSpacing/>
              <w:rPr>
                <w:sz w:val="20"/>
                <w:szCs w:val="20"/>
              </w:rPr>
            </w:pPr>
            <w:r w:rsidRPr="00A94E8C">
              <w:rPr>
                <w:sz w:val="20"/>
                <w:szCs w:val="20"/>
              </w:rPr>
              <w:t xml:space="preserve">FFS details on RRC signalling and DCI indicating. </w:t>
            </w:r>
          </w:p>
          <w:p w14:paraId="50C497B8" w14:textId="77777777" w:rsidR="00A94E8C" w:rsidRPr="00A94E8C" w:rsidRDefault="00A94E8C" w:rsidP="00A94E8C">
            <w:pPr>
              <w:numPr>
                <w:ilvl w:val="1"/>
                <w:numId w:val="21"/>
              </w:numPr>
              <w:overflowPunct w:val="0"/>
              <w:autoSpaceDE w:val="0"/>
              <w:autoSpaceDN w:val="0"/>
              <w:snapToGrid w:val="0"/>
              <w:contextualSpacing/>
              <w:rPr>
                <w:sz w:val="20"/>
                <w:szCs w:val="20"/>
              </w:rPr>
            </w:pPr>
            <w:r w:rsidRPr="00A94E8C">
              <w:rPr>
                <w:sz w:val="20"/>
                <w:szCs w:val="20"/>
              </w:rPr>
              <w:t>If RRC signalling does not configure the function, DCI does not indicate enabling/disabling the HARQ-ACK feedback.</w:t>
            </w:r>
          </w:p>
          <w:p w14:paraId="20FD4DAE" w14:textId="77777777" w:rsidR="00A94E8C" w:rsidRPr="00A94E8C" w:rsidRDefault="00A94E8C" w:rsidP="00A94E8C">
            <w:pPr>
              <w:numPr>
                <w:ilvl w:val="2"/>
                <w:numId w:val="20"/>
              </w:numPr>
              <w:overflowPunct w:val="0"/>
              <w:autoSpaceDE w:val="0"/>
              <w:autoSpaceDN w:val="0"/>
              <w:snapToGrid w:val="0"/>
              <w:contextualSpacing/>
              <w:rPr>
                <w:sz w:val="20"/>
                <w:szCs w:val="20"/>
              </w:rPr>
            </w:pPr>
            <w:r w:rsidRPr="00A94E8C">
              <w:rPr>
                <w:sz w:val="20"/>
                <w:szCs w:val="20"/>
              </w:rPr>
              <w:t xml:space="preserve">FFS whether enabling or disabling the feedback is the default mode. </w:t>
            </w:r>
          </w:p>
          <w:p w14:paraId="3099CBE7" w14:textId="77777777" w:rsidR="00A94E8C" w:rsidRPr="00A94E8C" w:rsidRDefault="00A94E8C" w:rsidP="00A94E8C">
            <w:pPr>
              <w:numPr>
                <w:ilvl w:val="0"/>
                <w:numId w:val="20"/>
              </w:numPr>
              <w:overflowPunct w:val="0"/>
              <w:autoSpaceDE w:val="0"/>
              <w:autoSpaceDN w:val="0"/>
              <w:snapToGrid w:val="0"/>
              <w:contextualSpacing/>
              <w:rPr>
                <w:sz w:val="20"/>
                <w:szCs w:val="20"/>
                <w:lang w:eastAsia="ja-JP"/>
              </w:rPr>
            </w:pPr>
            <w:r w:rsidRPr="00A94E8C">
              <w:rPr>
                <w:sz w:val="20"/>
                <w:szCs w:val="20"/>
                <w:lang w:eastAsia="ja-JP"/>
              </w:rPr>
              <w:t>Option 2: RRC indicates enabling/disabling.</w:t>
            </w:r>
          </w:p>
          <w:p w14:paraId="17301F88" w14:textId="77777777" w:rsidR="00A94E8C" w:rsidRPr="00A94E8C" w:rsidRDefault="00A94E8C" w:rsidP="00A94E8C">
            <w:pPr>
              <w:numPr>
                <w:ilvl w:val="0"/>
                <w:numId w:val="20"/>
              </w:numPr>
              <w:overflowPunct w:val="0"/>
              <w:autoSpaceDE w:val="0"/>
              <w:autoSpaceDN w:val="0"/>
              <w:snapToGrid w:val="0"/>
              <w:contextualSpacing/>
              <w:rPr>
                <w:sz w:val="20"/>
                <w:szCs w:val="20"/>
                <w:lang w:eastAsia="ja-JP"/>
              </w:rPr>
            </w:pPr>
            <w:r w:rsidRPr="00A94E8C">
              <w:rPr>
                <w:sz w:val="20"/>
                <w:szCs w:val="20"/>
                <w:lang w:eastAsia="ja-JP"/>
              </w:rPr>
              <w:t xml:space="preserve">FFS: whether down-selection between option 3 and option 2 is needed or support the both options. </w:t>
            </w:r>
          </w:p>
          <w:p w14:paraId="62AF566D" w14:textId="279F7896" w:rsidR="00203C96" w:rsidRPr="00A94E8C" w:rsidRDefault="00A94E8C" w:rsidP="00A94E8C">
            <w:pPr>
              <w:numPr>
                <w:ilvl w:val="0"/>
                <w:numId w:val="20"/>
              </w:numPr>
              <w:overflowPunct w:val="0"/>
              <w:autoSpaceDE w:val="0"/>
              <w:autoSpaceDN w:val="0"/>
              <w:snapToGrid w:val="0"/>
              <w:contextualSpacing/>
              <w:rPr>
                <w:sz w:val="20"/>
                <w:szCs w:val="20"/>
                <w:lang w:eastAsia="ja-JP"/>
              </w:rPr>
            </w:pPr>
            <w:r w:rsidRPr="00A94E8C">
              <w:rPr>
                <w:sz w:val="20"/>
                <w:szCs w:val="20"/>
                <w:lang w:eastAsia="ja-JP"/>
              </w:rPr>
              <w:t>FFS: enabling/disabling by MAC-CE.</w:t>
            </w:r>
            <w:bookmarkEnd w:id="2"/>
            <w:bookmarkEnd w:id="3"/>
          </w:p>
        </w:tc>
      </w:tr>
    </w:tbl>
    <w:p w14:paraId="68A2904D" w14:textId="462B0CC6" w:rsidR="00880B5E" w:rsidRPr="00150A73" w:rsidRDefault="00A67BBD" w:rsidP="000C074D">
      <w:pPr>
        <w:spacing w:before="120" w:after="120"/>
        <w:rPr>
          <w:rFonts w:hint="eastAsia"/>
          <w:b/>
          <w:bCs/>
          <w:color w:val="000000"/>
          <w:sz w:val="20"/>
          <w:szCs w:val="20"/>
          <w:lang w:val="en-US"/>
        </w:rPr>
      </w:pPr>
      <w:r w:rsidRPr="00150A73">
        <w:rPr>
          <w:b/>
          <w:bCs/>
          <w:color w:val="000000"/>
          <w:sz w:val="20"/>
          <w:szCs w:val="20"/>
          <w:lang w:val="en-US"/>
        </w:rPr>
        <w:t xml:space="preserve">Proposal </w:t>
      </w:r>
      <w:r w:rsidR="00787C9E">
        <w:rPr>
          <w:b/>
          <w:bCs/>
          <w:color w:val="000000"/>
          <w:sz w:val="20"/>
          <w:szCs w:val="20"/>
          <w:lang w:val="en-US"/>
        </w:rPr>
        <w:t>4</w:t>
      </w:r>
      <w:r w:rsidRPr="00150A73">
        <w:rPr>
          <w:b/>
          <w:bCs/>
          <w:color w:val="000000"/>
          <w:sz w:val="20"/>
          <w:szCs w:val="20"/>
          <w:lang w:val="en-US"/>
        </w:rPr>
        <w:t xml:space="preserve">: </w:t>
      </w:r>
      <w:r w:rsidR="00880B5E" w:rsidRPr="00880B5E">
        <w:rPr>
          <w:b/>
          <w:bCs/>
          <w:color w:val="000000"/>
          <w:sz w:val="20"/>
          <w:szCs w:val="20"/>
          <w:lang w:val="en-US"/>
        </w:rPr>
        <w:t>HARQ-ACK feedback is only enabled or disabled by RRC signaling</w:t>
      </w:r>
      <w:r w:rsidR="006E08FD">
        <w:rPr>
          <w:b/>
          <w:bCs/>
          <w:color w:val="000000"/>
          <w:sz w:val="20"/>
          <w:szCs w:val="20"/>
          <w:lang w:val="en-US"/>
        </w:rPr>
        <w:t xml:space="preserve"> for PTM scheme 1</w:t>
      </w:r>
      <w:r w:rsidR="00880B5E" w:rsidRPr="00880B5E">
        <w:rPr>
          <w:b/>
          <w:bCs/>
          <w:color w:val="000000"/>
          <w:sz w:val="20"/>
          <w:szCs w:val="20"/>
          <w:lang w:val="en-US"/>
        </w:rPr>
        <w:t>.</w:t>
      </w:r>
    </w:p>
    <w:p w14:paraId="1DE6452F" w14:textId="77777777" w:rsidR="00D12367" w:rsidRDefault="00D12367" w:rsidP="00D12367">
      <w:pPr>
        <w:pStyle w:val="Heading1"/>
      </w:pPr>
      <w:r>
        <w:t>Summary</w:t>
      </w:r>
    </w:p>
    <w:p w14:paraId="25F8D0AD" w14:textId="358CBDB7" w:rsidR="00D12367" w:rsidRPr="001D0C16" w:rsidRDefault="00D12367" w:rsidP="00D12367">
      <w:pPr>
        <w:overflowPunct w:val="0"/>
        <w:autoSpaceDE w:val="0"/>
        <w:autoSpaceDN w:val="0"/>
        <w:adjustRightInd w:val="0"/>
        <w:jc w:val="both"/>
        <w:textAlignment w:val="baseline"/>
        <w:rPr>
          <w:rFonts w:eastAsia="MS Mincho"/>
          <w:sz w:val="20"/>
          <w:szCs w:val="20"/>
          <w:lang w:val="en-US" w:eastAsia="ja-JP"/>
        </w:rPr>
      </w:pPr>
      <w:r w:rsidRPr="00447804">
        <w:rPr>
          <w:rFonts w:eastAsia="MS Mincho"/>
          <w:sz w:val="20"/>
          <w:szCs w:val="20"/>
          <w:lang w:eastAsia="ja-JP"/>
        </w:rPr>
        <w:t>In this contribution, we discuss</w:t>
      </w:r>
      <w:r>
        <w:rPr>
          <w:rFonts w:eastAsia="MS Mincho"/>
          <w:sz w:val="20"/>
          <w:szCs w:val="20"/>
          <w:lang w:eastAsia="ja-JP"/>
        </w:rPr>
        <w:t xml:space="preserve"> </w:t>
      </w:r>
      <w:r w:rsidR="00FA1586">
        <w:rPr>
          <w:rFonts w:eastAsia="MS Mincho"/>
          <w:sz w:val="20"/>
          <w:szCs w:val="20"/>
          <w:lang w:val="en-US" w:eastAsia="ja-JP"/>
        </w:rPr>
        <w:t>MBS</w:t>
      </w:r>
      <w:r w:rsidR="005C2A81">
        <w:rPr>
          <w:rFonts w:eastAsia="MS Mincho"/>
          <w:sz w:val="20"/>
          <w:szCs w:val="20"/>
          <w:lang w:val="en-US" w:eastAsia="ja-JP"/>
        </w:rPr>
        <w:t xml:space="preserve"> HARQ feedback mechanism and potential</w:t>
      </w:r>
      <w:r w:rsidR="00FA1586">
        <w:rPr>
          <w:rFonts w:eastAsia="MS Mincho"/>
          <w:sz w:val="20"/>
          <w:szCs w:val="20"/>
          <w:lang w:val="en-US" w:eastAsia="ja-JP"/>
        </w:rPr>
        <w:t xml:space="preserve"> reliability improvement</w:t>
      </w:r>
      <w:r w:rsidR="001D0C16">
        <w:rPr>
          <w:rFonts w:eastAsia="MS Mincho"/>
          <w:sz w:val="20"/>
          <w:szCs w:val="20"/>
          <w:lang w:val="en-US" w:eastAsia="ja-JP"/>
        </w:rPr>
        <w:t xml:space="preserve"> techniques, and </w:t>
      </w:r>
      <w:r w:rsidRPr="00447804">
        <w:rPr>
          <w:rFonts w:eastAsia="MS Mincho"/>
          <w:sz w:val="20"/>
          <w:szCs w:val="20"/>
          <w:lang w:eastAsia="ja-JP"/>
        </w:rPr>
        <w:t xml:space="preserve">have the following </w:t>
      </w:r>
      <w:r w:rsidR="005C2A81">
        <w:rPr>
          <w:rFonts w:eastAsia="MS Mincho"/>
          <w:sz w:val="20"/>
          <w:szCs w:val="20"/>
          <w:lang w:val="en-US" w:eastAsia="ja-JP"/>
        </w:rPr>
        <w:t xml:space="preserve">observation and </w:t>
      </w:r>
      <w:r w:rsidRPr="00447804">
        <w:rPr>
          <w:rFonts w:eastAsia="MS Mincho"/>
          <w:sz w:val="20"/>
          <w:szCs w:val="20"/>
          <w:lang w:eastAsia="ja-JP"/>
        </w:rPr>
        <w:t>proposals:</w:t>
      </w:r>
    </w:p>
    <w:p w14:paraId="455F3ED3" w14:textId="065D6B61" w:rsidR="00046F07" w:rsidRPr="003479F8" w:rsidRDefault="00046F07" w:rsidP="00046F07">
      <w:pPr>
        <w:spacing w:before="120" w:after="120"/>
        <w:rPr>
          <w:b/>
          <w:bCs/>
          <w:color w:val="000000"/>
          <w:sz w:val="20"/>
          <w:szCs w:val="20"/>
          <w:lang w:val="en-US"/>
        </w:rPr>
      </w:pPr>
      <w:r w:rsidRPr="003479F8">
        <w:rPr>
          <w:b/>
          <w:bCs/>
          <w:color w:val="000000"/>
          <w:sz w:val="20"/>
          <w:szCs w:val="20"/>
          <w:lang w:val="en-US"/>
        </w:rPr>
        <w:t xml:space="preserve">Proposal </w:t>
      </w:r>
      <w:r>
        <w:rPr>
          <w:b/>
          <w:bCs/>
          <w:color w:val="000000"/>
          <w:sz w:val="20"/>
          <w:szCs w:val="20"/>
          <w:lang w:val="en-US"/>
        </w:rPr>
        <w:t>1</w:t>
      </w:r>
      <w:r w:rsidRPr="003479F8">
        <w:rPr>
          <w:b/>
          <w:bCs/>
          <w:color w:val="000000"/>
          <w:sz w:val="20"/>
          <w:szCs w:val="20"/>
          <w:lang w:val="en-US"/>
        </w:rPr>
        <w:t xml:space="preserve">: </w:t>
      </w:r>
      <w:r w:rsidR="002E7CE9">
        <w:rPr>
          <w:b/>
          <w:bCs/>
          <w:color w:val="000000"/>
          <w:sz w:val="20"/>
          <w:szCs w:val="20"/>
          <w:lang w:val="en-US"/>
        </w:rPr>
        <w:t>W</w:t>
      </w:r>
      <w:r w:rsidRPr="003479F8">
        <w:rPr>
          <w:b/>
          <w:bCs/>
          <w:color w:val="000000"/>
          <w:sz w:val="20"/>
          <w:szCs w:val="20"/>
          <w:lang w:val="en-US"/>
        </w:rPr>
        <w:t>hether to support more than one Type-2 codebook for M</w:t>
      </w:r>
      <w:r w:rsidR="005A046C">
        <w:rPr>
          <w:b/>
          <w:bCs/>
          <w:color w:val="000000"/>
          <w:sz w:val="20"/>
          <w:szCs w:val="20"/>
          <w:lang w:val="en-US"/>
        </w:rPr>
        <w:t>B</w:t>
      </w:r>
      <w:r w:rsidRPr="003479F8">
        <w:rPr>
          <w:b/>
          <w:bCs/>
          <w:color w:val="000000"/>
          <w:sz w:val="20"/>
          <w:szCs w:val="20"/>
          <w:lang w:val="en-US"/>
        </w:rPr>
        <w:t>S  is waiting for the outcome of the CFR design.</w:t>
      </w:r>
    </w:p>
    <w:p w14:paraId="1DD78021" w14:textId="77777777" w:rsidR="00046F07" w:rsidRDefault="00046F07" w:rsidP="00046F07">
      <w:pPr>
        <w:spacing w:before="120" w:after="120"/>
        <w:rPr>
          <w:rFonts w:ascii="New York" w:eastAsia="SimSun" w:hAnsi="New York"/>
          <w:b/>
          <w:bCs/>
          <w:sz w:val="20"/>
          <w:szCs w:val="20"/>
          <w:lang w:val="en-US"/>
        </w:rPr>
      </w:pPr>
      <w:r w:rsidRPr="00CD3D27">
        <w:rPr>
          <w:b/>
          <w:bCs/>
          <w:color w:val="000000"/>
          <w:sz w:val="20"/>
          <w:szCs w:val="20"/>
          <w:lang w:val="en-US"/>
        </w:rPr>
        <w:t xml:space="preserve">Proposal </w:t>
      </w:r>
      <w:r>
        <w:rPr>
          <w:b/>
          <w:bCs/>
          <w:color w:val="000000"/>
          <w:sz w:val="20"/>
          <w:szCs w:val="20"/>
          <w:lang w:val="en-US"/>
        </w:rPr>
        <w:t>2</w:t>
      </w:r>
      <w:r w:rsidRPr="00CD3D27">
        <w:rPr>
          <w:b/>
          <w:bCs/>
          <w:color w:val="000000"/>
          <w:sz w:val="20"/>
          <w:szCs w:val="20"/>
          <w:lang w:val="en-US"/>
        </w:rPr>
        <w:t xml:space="preserve">: </w:t>
      </w:r>
      <w:r w:rsidRPr="00060927">
        <w:rPr>
          <w:rFonts w:ascii="New York" w:eastAsia="SimSun" w:hAnsi="New York"/>
          <w:b/>
          <w:bCs/>
          <w:sz w:val="20"/>
          <w:szCs w:val="20"/>
          <w:lang w:val="en-US"/>
        </w:rPr>
        <w:t xml:space="preserve">FDM between multiple </w:t>
      </w:r>
      <w:proofErr w:type="spellStart"/>
      <w:r w:rsidRPr="00060927">
        <w:rPr>
          <w:rFonts w:ascii="New York" w:eastAsia="SimSun" w:hAnsi="New York"/>
          <w:b/>
          <w:bCs/>
          <w:sz w:val="20"/>
          <w:szCs w:val="20"/>
          <w:lang w:val="en-US"/>
        </w:rPr>
        <w:t>TDMed</w:t>
      </w:r>
      <w:proofErr w:type="spellEnd"/>
      <w:r w:rsidRPr="00060927">
        <w:rPr>
          <w:rFonts w:ascii="New York" w:eastAsia="SimSun" w:hAnsi="New York"/>
          <w:b/>
          <w:bCs/>
          <w:sz w:val="20"/>
          <w:szCs w:val="20"/>
          <w:lang w:val="en-US"/>
        </w:rPr>
        <w:t xml:space="preserve"> unicast PDSCHs and multiple </w:t>
      </w:r>
      <w:proofErr w:type="spellStart"/>
      <w:r w:rsidRPr="00060927">
        <w:rPr>
          <w:rFonts w:ascii="New York" w:eastAsia="SimSun" w:hAnsi="New York"/>
          <w:b/>
          <w:bCs/>
          <w:sz w:val="20"/>
          <w:szCs w:val="20"/>
          <w:lang w:val="en-US"/>
        </w:rPr>
        <w:t>TDMed</w:t>
      </w:r>
      <w:proofErr w:type="spellEnd"/>
      <w:r w:rsidRPr="00060927">
        <w:rPr>
          <w:rFonts w:ascii="New York" w:eastAsia="SimSun" w:hAnsi="New York"/>
          <w:b/>
          <w:bCs/>
          <w:sz w:val="20"/>
          <w:szCs w:val="20"/>
          <w:lang w:val="en-US"/>
        </w:rPr>
        <w:t xml:space="preserve"> group-common PDSCHs in a slot can be supported according to UE capability</w:t>
      </w:r>
      <w:r w:rsidRPr="00CD3D27">
        <w:rPr>
          <w:rFonts w:ascii="New York" w:eastAsia="SimSun" w:hAnsi="New York"/>
          <w:b/>
          <w:bCs/>
          <w:sz w:val="20"/>
          <w:szCs w:val="20"/>
          <w:lang w:val="en-US"/>
        </w:rPr>
        <w:t>.</w:t>
      </w:r>
    </w:p>
    <w:p w14:paraId="29597606" w14:textId="2BE12AA8" w:rsidR="00046F07" w:rsidRDefault="00046F07" w:rsidP="00046F07">
      <w:pPr>
        <w:spacing w:before="120" w:after="120"/>
        <w:rPr>
          <w:rFonts w:ascii="New York" w:eastAsia="SimSun" w:hAnsi="New York"/>
          <w:b/>
          <w:bCs/>
          <w:sz w:val="20"/>
          <w:szCs w:val="20"/>
          <w:lang w:val="en-US"/>
        </w:rPr>
      </w:pPr>
      <w:r w:rsidRPr="00CD3D27">
        <w:rPr>
          <w:b/>
          <w:bCs/>
          <w:color w:val="000000"/>
          <w:sz w:val="20"/>
          <w:szCs w:val="20"/>
          <w:lang w:val="en-US"/>
        </w:rPr>
        <w:t xml:space="preserve">Proposal </w:t>
      </w:r>
      <w:r>
        <w:rPr>
          <w:b/>
          <w:bCs/>
          <w:color w:val="000000"/>
          <w:sz w:val="20"/>
          <w:szCs w:val="20"/>
          <w:lang w:val="en-US"/>
        </w:rPr>
        <w:t>3</w:t>
      </w:r>
      <w:r w:rsidRPr="00CD3D27">
        <w:rPr>
          <w:b/>
          <w:bCs/>
          <w:color w:val="000000"/>
          <w:sz w:val="20"/>
          <w:szCs w:val="20"/>
          <w:lang w:val="en-US"/>
        </w:rPr>
        <w:t>:</w:t>
      </w:r>
      <w:r w:rsidRPr="00787C9E">
        <w:rPr>
          <w:rFonts w:ascii="New York" w:eastAsia="SimSun" w:hAnsi="New York"/>
          <w:b/>
          <w:bCs/>
          <w:sz w:val="20"/>
          <w:szCs w:val="20"/>
          <w:lang w:val="en-US"/>
        </w:rPr>
        <w:t xml:space="preserve"> </w:t>
      </w:r>
      <w:r>
        <w:rPr>
          <w:rFonts w:ascii="New York" w:eastAsia="SimSun" w:hAnsi="New York"/>
          <w:b/>
          <w:bCs/>
          <w:sz w:val="20"/>
          <w:szCs w:val="20"/>
          <w:lang w:val="en-US"/>
        </w:rPr>
        <w:t xml:space="preserve">For Type-1 HARQ-ACK feedback, to support FDM reception of unicast and multicast PDSCH, </w:t>
      </w:r>
      <w:r w:rsidRPr="00060927">
        <w:rPr>
          <w:rFonts w:ascii="New York" w:eastAsia="SimSun" w:hAnsi="New York"/>
          <w:b/>
          <w:bCs/>
          <w:sz w:val="20"/>
          <w:szCs w:val="20"/>
          <w:lang w:val="en-US"/>
        </w:rPr>
        <w:t>HARQ-ACK codebook are determined separately for unicast PDSCH and group common PDSCH</w:t>
      </w:r>
      <w:r>
        <w:rPr>
          <w:rFonts w:ascii="New York" w:eastAsia="SimSun" w:hAnsi="New York"/>
          <w:b/>
          <w:bCs/>
          <w:sz w:val="20"/>
          <w:szCs w:val="20"/>
          <w:lang w:val="en-US"/>
        </w:rPr>
        <w:t>.</w:t>
      </w:r>
    </w:p>
    <w:p w14:paraId="216C732C" w14:textId="77777777" w:rsidR="00046F07" w:rsidRPr="00150A73" w:rsidRDefault="00046F07" w:rsidP="00046F07">
      <w:pPr>
        <w:spacing w:before="120" w:after="120"/>
        <w:rPr>
          <w:rFonts w:hint="eastAsia"/>
          <w:b/>
          <w:bCs/>
          <w:color w:val="000000"/>
          <w:sz w:val="20"/>
          <w:szCs w:val="20"/>
          <w:lang w:val="en-US"/>
        </w:rPr>
      </w:pPr>
      <w:r w:rsidRPr="00150A73">
        <w:rPr>
          <w:b/>
          <w:bCs/>
          <w:color w:val="000000"/>
          <w:sz w:val="20"/>
          <w:szCs w:val="20"/>
          <w:lang w:val="en-US"/>
        </w:rPr>
        <w:t xml:space="preserve">Proposal </w:t>
      </w:r>
      <w:r>
        <w:rPr>
          <w:b/>
          <w:bCs/>
          <w:color w:val="000000"/>
          <w:sz w:val="20"/>
          <w:szCs w:val="20"/>
          <w:lang w:val="en-US"/>
        </w:rPr>
        <w:t>4</w:t>
      </w:r>
      <w:r w:rsidRPr="00150A73">
        <w:rPr>
          <w:b/>
          <w:bCs/>
          <w:color w:val="000000"/>
          <w:sz w:val="20"/>
          <w:szCs w:val="20"/>
          <w:lang w:val="en-US"/>
        </w:rPr>
        <w:t xml:space="preserve">: </w:t>
      </w:r>
      <w:r w:rsidRPr="00880B5E">
        <w:rPr>
          <w:b/>
          <w:bCs/>
          <w:color w:val="000000"/>
          <w:sz w:val="20"/>
          <w:szCs w:val="20"/>
          <w:lang w:val="en-US"/>
        </w:rPr>
        <w:t>HARQ-ACK feedback is only enabled or disabled by RRC signaling</w:t>
      </w:r>
      <w:r>
        <w:rPr>
          <w:b/>
          <w:bCs/>
          <w:color w:val="000000"/>
          <w:sz w:val="20"/>
          <w:szCs w:val="20"/>
          <w:lang w:val="en-US"/>
        </w:rPr>
        <w:t xml:space="preserve"> for PTM scheme 1</w:t>
      </w:r>
      <w:r w:rsidRPr="00880B5E">
        <w:rPr>
          <w:b/>
          <w:bCs/>
          <w:color w:val="000000"/>
          <w:sz w:val="20"/>
          <w:szCs w:val="20"/>
          <w:lang w:val="en-US"/>
        </w:rPr>
        <w:t>.</w:t>
      </w:r>
    </w:p>
    <w:p w14:paraId="19C24DC8" w14:textId="032C53CD" w:rsidR="007D27ED" w:rsidRDefault="0017048A" w:rsidP="004E2BE0">
      <w:pPr>
        <w:pStyle w:val="Heading1"/>
      </w:pPr>
      <w:r w:rsidRPr="00342BBF">
        <w:t>References</w:t>
      </w:r>
      <w:bookmarkStart w:id="4" w:name="_Ref523487962"/>
      <w:bookmarkStart w:id="5" w:name="_Ref523653838"/>
    </w:p>
    <w:p w14:paraId="00FEBD51" w14:textId="7B1735E3" w:rsidR="00120E8E" w:rsidRPr="00D576F3" w:rsidRDefault="00A17BEE" w:rsidP="00120E8E">
      <w:pPr>
        <w:widowControl w:val="0"/>
        <w:numPr>
          <w:ilvl w:val="0"/>
          <w:numId w:val="5"/>
        </w:numPr>
        <w:jc w:val="both"/>
        <w:rPr>
          <w:sz w:val="20"/>
          <w:szCs w:val="20"/>
        </w:rPr>
      </w:pPr>
      <w:r w:rsidRPr="00A17BEE">
        <w:rPr>
          <w:bCs/>
          <w:sz w:val="20"/>
          <w:szCs w:val="20"/>
          <w:lang w:val="en-GB"/>
        </w:rPr>
        <w:t>RP-193248</w:t>
      </w:r>
      <w:r w:rsidR="00120E8E" w:rsidRPr="007049A6">
        <w:rPr>
          <w:sz w:val="20"/>
          <w:szCs w:val="20"/>
        </w:rPr>
        <w:t>, “</w:t>
      </w:r>
      <w:r>
        <w:rPr>
          <w:sz w:val="20"/>
          <w:szCs w:val="20"/>
          <w:lang w:val="en-GB"/>
        </w:rPr>
        <w:t>New</w:t>
      </w:r>
      <w:r w:rsidRPr="00A17BEE">
        <w:rPr>
          <w:sz w:val="20"/>
          <w:szCs w:val="20"/>
          <w:lang w:val="en-GB"/>
        </w:rPr>
        <w:t xml:space="preserve"> Work Item on NR Multicast and Broadcast Services</w:t>
      </w:r>
      <w:r w:rsidR="00120E8E" w:rsidRPr="007049A6">
        <w:rPr>
          <w:sz w:val="20"/>
          <w:szCs w:val="20"/>
        </w:rPr>
        <w:t xml:space="preserve">”, </w:t>
      </w:r>
      <w:r w:rsidRPr="00A17BEE">
        <w:rPr>
          <w:bCs/>
          <w:sz w:val="20"/>
          <w:szCs w:val="20"/>
          <w:lang w:val="en-US"/>
        </w:rPr>
        <w:t xml:space="preserve">Huawei, </w:t>
      </w:r>
      <w:proofErr w:type="spellStart"/>
      <w:r w:rsidRPr="00A17BEE">
        <w:rPr>
          <w:bCs/>
          <w:sz w:val="20"/>
          <w:szCs w:val="20"/>
          <w:lang w:val="en-US"/>
        </w:rPr>
        <w:t>HiSilicon</w:t>
      </w:r>
      <w:proofErr w:type="spellEnd"/>
    </w:p>
    <w:p w14:paraId="447B44EB" w14:textId="4D0B3E4E" w:rsidR="00D576F3" w:rsidRPr="00D576F3" w:rsidRDefault="00D576F3" w:rsidP="00D576F3">
      <w:pPr>
        <w:widowControl w:val="0"/>
        <w:numPr>
          <w:ilvl w:val="0"/>
          <w:numId w:val="5"/>
        </w:numPr>
        <w:jc w:val="both"/>
        <w:rPr>
          <w:sz w:val="20"/>
          <w:szCs w:val="20"/>
        </w:rPr>
      </w:pPr>
      <w:r w:rsidRPr="009900A3">
        <w:rPr>
          <w:sz w:val="20"/>
          <w:szCs w:val="20"/>
          <w:lang w:val="en-US"/>
        </w:rPr>
        <w:t>R1-</w:t>
      </w:r>
      <w:r w:rsidRPr="0050157E">
        <w:rPr>
          <w:sz w:val="20"/>
          <w:szCs w:val="20"/>
        </w:rPr>
        <w:t>200</w:t>
      </w:r>
      <w:r w:rsidR="00EC2498">
        <w:rPr>
          <w:sz w:val="20"/>
          <w:szCs w:val="20"/>
          <w:lang w:val="en-US"/>
        </w:rPr>
        <w:t>75</w:t>
      </w:r>
      <w:r w:rsidRPr="0050157E">
        <w:rPr>
          <w:sz w:val="20"/>
          <w:szCs w:val="20"/>
        </w:rPr>
        <w:t>01</w:t>
      </w:r>
      <w:r w:rsidRPr="009900A3">
        <w:rPr>
          <w:sz w:val="20"/>
          <w:szCs w:val="20"/>
          <w:lang w:val="en-US"/>
        </w:rPr>
        <w:t>, “Report of RAN1#10</w:t>
      </w:r>
      <w:r>
        <w:rPr>
          <w:sz w:val="20"/>
          <w:szCs w:val="20"/>
          <w:lang w:val="en-US"/>
        </w:rPr>
        <w:t>2</w:t>
      </w:r>
      <w:r w:rsidRPr="009900A3">
        <w:rPr>
          <w:sz w:val="20"/>
          <w:szCs w:val="20"/>
          <w:lang w:val="en-US"/>
        </w:rPr>
        <w:t>-e meeting”, ETSI MCC</w:t>
      </w:r>
    </w:p>
    <w:p w14:paraId="6097A96F" w14:textId="460998F8" w:rsidR="003512F3" w:rsidRPr="00AD7D0F" w:rsidRDefault="003512F3" w:rsidP="003512F3">
      <w:pPr>
        <w:widowControl w:val="0"/>
        <w:numPr>
          <w:ilvl w:val="0"/>
          <w:numId w:val="5"/>
        </w:numPr>
        <w:jc w:val="both"/>
        <w:rPr>
          <w:sz w:val="20"/>
          <w:szCs w:val="20"/>
        </w:rPr>
      </w:pPr>
      <w:r w:rsidRPr="009900A3">
        <w:rPr>
          <w:sz w:val="20"/>
          <w:szCs w:val="20"/>
          <w:lang w:val="en-US"/>
        </w:rPr>
        <w:t>R1-</w:t>
      </w:r>
      <w:r w:rsidRPr="0050157E">
        <w:rPr>
          <w:sz w:val="20"/>
          <w:szCs w:val="20"/>
        </w:rPr>
        <w:t>2</w:t>
      </w:r>
      <w:r w:rsidR="00B96E9D">
        <w:rPr>
          <w:sz w:val="20"/>
          <w:szCs w:val="20"/>
          <w:lang w:val="en-US"/>
        </w:rPr>
        <w:t>1</w:t>
      </w:r>
      <w:r w:rsidRPr="0050157E">
        <w:rPr>
          <w:sz w:val="20"/>
          <w:szCs w:val="20"/>
        </w:rPr>
        <w:t>00</w:t>
      </w:r>
      <w:r w:rsidR="00B96E9D">
        <w:rPr>
          <w:sz w:val="20"/>
          <w:szCs w:val="20"/>
          <w:lang w:val="en-US"/>
        </w:rPr>
        <w:t>0</w:t>
      </w:r>
      <w:r w:rsidRPr="0050157E">
        <w:rPr>
          <w:sz w:val="20"/>
          <w:szCs w:val="20"/>
        </w:rPr>
        <w:t>01</w:t>
      </w:r>
      <w:r w:rsidRPr="009900A3">
        <w:rPr>
          <w:sz w:val="20"/>
          <w:szCs w:val="20"/>
          <w:lang w:val="en-US"/>
        </w:rPr>
        <w:t>, “Report of RAN1#10</w:t>
      </w:r>
      <w:r w:rsidR="00B96E9D">
        <w:rPr>
          <w:sz w:val="20"/>
          <w:szCs w:val="20"/>
          <w:lang w:val="en-US"/>
        </w:rPr>
        <w:t>3</w:t>
      </w:r>
      <w:r w:rsidRPr="009900A3">
        <w:rPr>
          <w:sz w:val="20"/>
          <w:szCs w:val="20"/>
          <w:lang w:val="en-US"/>
        </w:rPr>
        <w:t>-e meeting”, ETSI MCC</w:t>
      </w:r>
    </w:p>
    <w:p w14:paraId="645FE80E" w14:textId="77777777" w:rsidR="00AD7D0F" w:rsidRPr="00AF0BF8" w:rsidRDefault="00AD7D0F" w:rsidP="00AD7D0F">
      <w:pPr>
        <w:widowControl w:val="0"/>
        <w:numPr>
          <w:ilvl w:val="0"/>
          <w:numId w:val="5"/>
        </w:numPr>
        <w:jc w:val="both"/>
        <w:rPr>
          <w:sz w:val="20"/>
          <w:szCs w:val="20"/>
          <w:lang w:val="en-GB"/>
        </w:rPr>
      </w:pPr>
      <w:r w:rsidRPr="00AF0BF8">
        <w:rPr>
          <w:sz w:val="20"/>
          <w:szCs w:val="20"/>
          <w:lang w:val="en-GB"/>
        </w:rPr>
        <w:t>R1-2102281</w:t>
      </w:r>
      <w:r w:rsidRPr="008733FD">
        <w:rPr>
          <w:sz w:val="20"/>
          <w:szCs w:val="20"/>
        </w:rPr>
        <w:t>, “</w:t>
      </w:r>
      <w:r w:rsidRPr="00AF0BF8">
        <w:rPr>
          <w:sz w:val="20"/>
          <w:szCs w:val="20"/>
          <w:lang w:val="en-GB"/>
        </w:rPr>
        <w:t>Report of RAN1#104-e meeting</w:t>
      </w:r>
      <w:r w:rsidRPr="008733FD">
        <w:rPr>
          <w:sz w:val="20"/>
          <w:szCs w:val="20"/>
        </w:rPr>
        <w:t xml:space="preserve">”, </w:t>
      </w:r>
      <w:r w:rsidRPr="00AF0BF8">
        <w:rPr>
          <w:sz w:val="20"/>
          <w:szCs w:val="20"/>
          <w:lang w:val="en-US"/>
        </w:rPr>
        <w:t>ETSI MCC</w:t>
      </w:r>
    </w:p>
    <w:bookmarkEnd w:id="4"/>
    <w:bookmarkEnd w:id="5"/>
    <w:p w14:paraId="220F2E1F" w14:textId="77777777" w:rsidR="007539D6" w:rsidRPr="007539D6" w:rsidRDefault="007539D6" w:rsidP="008B7B61">
      <w:pPr>
        <w:pStyle w:val="BodyText"/>
        <w:rPr>
          <w:rFonts w:eastAsia="SimSun"/>
          <w:sz w:val="20"/>
          <w:szCs w:val="20"/>
        </w:rPr>
      </w:pPr>
    </w:p>
    <w:sectPr w:rsidR="007539D6" w:rsidRPr="007539D6"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A8C669" w14:textId="77777777" w:rsidR="004D5EFD" w:rsidRDefault="004D5EFD">
      <w:r>
        <w:separator/>
      </w:r>
    </w:p>
  </w:endnote>
  <w:endnote w:type="continuationSeparator" w:id="0">
    <w:p w14:paraId="6195E392" w14:textId="77777777" w:rsidR="004D5EFD" w:rsidRDefault="004D5EFD">
      <w:r>
        <w:continuationSeparator/>
      </w:r>
    </w:p>
  </w:endnote>
  <w:endnote w:type="continuationNotice" w:id="1">
    <w:p w14:paraId="4280587B" w14:textId="77777777" w:rsidR="004D5EFD" w:rsidRDefault="004D5E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MS Mincho"/>
    <w:panose1 w:val="020B06040202020202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4.2.0">
    <w:altName w:val="Times New Roman"/>
    <w:panose1 w:val="020B0604020202020204"/>
    <w:charset w:val="00"/>
    <w:family w:val="auto"/>
    <w:pitch w:val="default"/>
  </w:font>
  <w:font w:name="Vrinda">
    <w:panose1 w:val="020B0502040204020203"/>
    <w:charset w:val="00"/>
    <w:family w:val="swiss"/>
    <w:pitch w:val="variable"/>
    <w:sig w:usb0="0001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DE4F56" w14:textId="77777777" w:rsidR="004D5EFD" w:rsidRDefault="004D5EFD">
      <w:r>
        <w:separator/>
      </w:r>
    </w:p>
  </w:footnote>
  <w:footnote w:type="continuationSeparator" w:id="0">
    <w:p w14:paraId="43CEDF57" w14:textId="77777777" w:rsidR="004D5EFD" w:rsidRDefault="004D5EFD">
      <w:r>
        <w:continuationSeparator/>
      </w:r>
    </w:p>
  </w:footnote>
  <w:footnote w:type="continuationNotice" w:id="1">
    <w:p w14:paraId="2319A2AB" w14:textId="77777777" w:rsidR="004D5EFD" w:rsidRDefault="004D5E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2551"/>
        </w:tabs>
        <w:ind w:left="2551"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F705567"/>
    <w:multiLevelType w:val="hybridMultilevel"/>
    <w:tmpl w:val="255A7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89676D"/>
    <w:multiLevelType w:val="hybridMultilevel"/>
    <w:tmpl w:val="0BE2220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4C1F94"/>
    <w:multiLevelType w:val="hybridMultilevel"/>
    <w:tmpl w:val="48A694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SimSun" w:eastAsia="SimSun" w:hAnsi="SimSun"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6"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EB322F"/>
    <w:multiLevelType w:val="hybridMultilevel"/>
    <w:tmpl w:val="F51A8A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8"/>
  </w:num>
  <w:num w:numId="2">
    <w:abstractNumId w:val="7"/>
  </w:num>
  <w:num w:numId="3">
    <w:abstractNumId w:val="9"/>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18"/>
  </w:num>
  <w:num w:numId="8">
    <w:abstractNumId w:val="11"/>
  </w:num>
  <w:num w:numId="9">
    <w:abstractNumId w:val="3"/>
  </w:num>
  <w:num w:numId="10">
    <w:abstractNumId w:val="5"/>
  </w:num>
  <w:num w:numId="11">
    <w:abstractNumId w:val="12"/>
  </w:num>
  <w:num w:numId="12">
    <w:abstractNumId w:val="13"/>
  </w:num>
  <w:num w:numId="13">
    <w:abstractNumId w:val="16"/>
  </w:num>
  <w:num w:numId="14">
    <w:abstractNumId w:val="0"/>
  </w:num>
  <w:num w:numId="15">
    <w:abstractNumId w:val="2"/>
  </w:num>
  <w:num w:numId="16">
    <w:abstractNumId w:val="16"/>
  </w:num>
  <w:num w:numId="17">
    <w:abstractNumId w:val="15"/>
  </w:num>
  <w:num w:numId="18">
    <w:abstractNumId w:val="19"/>
  </w:num>
  <w:num w:numId="19">
    <w:abstractNumId w:val="17"/>
  </w:num>
  <w:num w:numId="20">
    <w:abstractNumId w:val="15"/>
    <w:lvlOverride w:ilvl="0"/>
    <w:lvlOverride w:ilvl="1"/>
    <w:lvlOverride w:ilvl="2"/>
    <w:lvlOverride w:ilvl="3"/>
    <w:lvlOverride w:ilvl="4"/>
    <w:lvlOverride w:ilvl="5"/>
    <w:lvlOverride w:ilvl="6"/>
    <w:lvlOverride w:ilvl="7"/>
    <w:lvlOverride w:ilvl="8"/>
  </w:num>
  <w:num w:numId="21">
    <w:abstractNumId w:val="14"/>
    <w:lvlOverride w:ilvl="0"/>
    <w:lvlOverride w:ilvl="1"/>
    <w:lvlOverride w:ilvl="2"/>
    <w:lvlOverride w:ilvl="3"/>
    <w:lvlOverride w:ilvl="4"/>
    <w:lvlOverride w:ilvl="5"/>
    <w:lvlOverride w:ilvl="6"/>
    <w:lvlOverride w:ilvl="7"/>
    <w:lvlOverride w:ilvl="8"/>
  </w:num>
  <w:num w:numId="22">
    <w:abstractNumId w:val="20"/>
  </w:num>
  <w:num w:numId="23">
    <w:abstractNumId w:val="6"/>
  </w:num>
  <w:num w:numId="24">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8"/>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37"/>
    <w:rsid w:val="000121EC"/>
    <w:rsid w:val="000124D1"/>
    <w:rsid w:val="0001266C"/>
    <w:rsid w:val="00012D90"/>
    <w:rsid w:val="00012DCC"/>
    <w:rsid w:val="0001321B"/>
    <w:rsid w:val="000137FF"/>
    <w:rsid w:val="00013A7B"/>
    <w:rsid w:val="00013B23"/>
    <w:rsid w:val="00013B63"/>
    <w:rsid w:val="00014035"/>
    <w:rsid w:val="000141F0"/>
    <w:rsid w:val="000142A5"/>
    <w:rsid w:val="00014E55"/>
    <w:rsid w:val="00015204"/>
    <w:rsid w:val="00015BCB"/>
    <w:rsid w:val="00015FB7"/>
    <w:rsid w:val="00016013"/>
    <w:rsid w:val="000162B2"/>
    <w:rsid w:val="00016698"/>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2E96"/>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74C"/>
    <w:rsid w:val="00046CD6"/>
    <w:rsid w:val="00046CE4"/>
    <w:rsid w:val="00046F07"/>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120"/>
    <w:rsid w:val="00056235"/>
    <w:rsid w:val="00056ABA"/>
    <w:rsid w:val="00056C79"/>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927"/>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6EFA"/>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2E11"/>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B15"/>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6AA7"/>
    <w:rsid w:val="000C705B"/>
    <w:rsid w:val="000C71D9"/>
    <w:rsid w:val="000C794A"/>
    <w:rsid w:val="000C7C3E"/>
    <w:rsid w:val="000C7CC6"/>
    <w:rsid w:val="000D037E"/>
    <w:rsid w:val="000D0513"/>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B72"/>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74C"/>
    <w:rsid w:val="00106A95"/>
    <w:rsid w:val="00106CC3"/>
    <w:rsid w:val="00106E7E"/>
    <w:rsid w:val="001074D1"/>
    <w:rsid w:val="001075F0"/>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435"/>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A73"/>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6"/>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9ED"/>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841"/>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C96"/>
    <w:rsid w:val="00203F00"/>
    <w:rsid w:val="00203F5C"/>
    <w:rsid w:val="00204096"/>
    <w:rsid w:val="00204101"/>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5EB"/>
    <w:rsid w:val="0021567C"/>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57DC5"/>
    <w:rsid w:val="002600D6"/>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312"/>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75"/>
    <w:rsid w:val="002B3D90"/>
    <w:rsid w:val="002B4166"/>
    <w:rsid w:val="002B4A1F"/>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E7CE9"/>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3DD"/>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C1C"/>
    <w:rsid w:val="00325C6E"/>
    <w:rsid w:val="0032641A"/>
    <w:rsid w:val="0032649F"/>
    <w:rsid w:val="0032691D"/>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9F8"/>
    <w:rsid w:val="00347CCB"/>
    <w:rsid w:val="00347F2E"/>
    <w:rsid w:val="00350186"/>
    <w:rsid w:val="0035025F"/>
    <w:rsid w:val="003503F4"/>
    <w:rsid w:val="0035041A"/>
    <w:rsid w:val="003505AD"/>
    <w:rsid w:val="00350631"/>
    <w:rsid w:val="003512F3"/>
    <w:rsid w:val="0035140A"/>
    <w:rsid w:val="0035180B"/>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11E"/>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6D3"/>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D1F"/>
    <w:rsid w:val="00413E02"/>
    <w:rsid w:val="00414129"/>
    <w:rsid w:val="004145AE"/>
    <w:rsid w:val="0041560E"/>
    <w:rsid w:val="0041577E"/>
    <w:rsid w:val="004157F6"/>
    <w:rsid w:val="004158F3"/>
    <w:rsid w:val="004159D3"/>
    <w:rsid w:val="00415A14"/>
    <w:rsid w:val="0041616C"/>
    <w:rsid w:val="0041620F"/>
    <w:rsid w:val="0041659A"/>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3A"/>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04"/>
    <w:rsid w:val="0044782A"/>
    <w:rsid w:val="004500E1"/>
    <w:rsid w:val="00450778"/>
    <w:rsid w:val="00450D3B"/>
    <w:rsid w:val="004517CD"/>
    <w:rsid w:val="004518D5"/>
    <w:rsid w:val="004519BF"/>
    <w:rsid w:val="00451A88"/>
    <w:rsid w:val="00451B06"/>
    <w:rsid w:val="00451B73"/>
    <w:rsid w:val="00451BEB"/>
    <w:rsid w:val="004525E6"/>
    <w:rsid w:val="004527C0"/>
    <w:rsid w:val="004527FC"/>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9AE"/>
    <w:rsid w:val="00466F30"/>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1EC"/>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EFD"/>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2B"/>
    <w:rsid w:val="0056249A"/>
    <w:rsid w:val="00562524"/>
    <w:rsid w:val="00562908"/>
    <w:rsid w:val="00562CDC"/>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4C5"/>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A92"/>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BE9"/>
    <w:rsid w:val="00596F5D"/>
    <w:rsid w:val="005970DB"/>
    <w:rsid w:val="0059715B"/>
    <w:rsid w:val="005973C7"/>
    <w:rsid w:val="00597605"/>
    <w:rsid w:val="00597788"/>
    <w:rsid w:val="00597A36"/>
    <w:rsid w:val="00597E86"/>
    <w:rsid w:val="00597E93"/>
    <w:rsid w:val="005A046C"/>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A81"/>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23A"/>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DB0"/>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EA8"/>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5AD"/>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8D1"/>
    <w:rsid w:val="006D59BF"/>
    <w:rsid w:val="006D5AE7"/>
    <w:rsid w:val="006D5EC2"/>
    <w:rsid w:val="006D5FEF"/>
    <w:rsid w:val="006D615D"/>
    <w:rsid w:val="006D63C2"/>
    <w:rsid w:val="006D7598"/>
    <w:rsid w:val="006D7B93"/>
    <w:rsid w:val="006D7D41"/>
    <w:rsid w:val="006D7DAD"/>
    <w:rsid w:val="006E08FD"/>
    <w:rsid w:val="006E0ADC"/>
    <w:rsid w:val="006E0B16"/>
    <w:rsid w:val="006E0E60"/>
    <w:rsid w:val="006E0ED0"/>
    <w:rsid w:val="006E176F"/>
    <w:rsid w:val="006E199B"/>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30C"/>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049"/>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3F99"/>
    <w:rsid w:val="00734133"/>
    <w:rsid w:val="0073448F"/>
    <w:rsid w:val="0073473D"/>
    <w:rsid w:val="0073497A"/>
    <w:rsid w:val="00735023"/>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114"/>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9D6"/>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E7"/>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C9E"/>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47E"/>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6B29"/>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2FBC"/>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17"/>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2D9"/>
    <w:rsid w:val="00804437"/>
    <w:rsid w:val="00804867"/>
    <w:rsid w:val="00804B2F"/>
    <w:rsid w:val="00804C3F"/>
    <w:rsid w:val="00805227"/>
    <w:rsid w:val="00805365"/>
    <w:rsid w:val="00806232"/>
    <w:rsid w:val="00806979"/>
    <w:rsid w:val="0080699F"/>
    <w:rsid w:val="00806ACA"/>
    <w:rsid w:val="00806D29"/>
    <w:rsid w:val="00806F8F"/>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54"/>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4AA7"/>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B5E"/>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56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F2E"/>
    <w:rsid w:val="008D5FCD"/>
    <w:rsid w:val="008D6733"/>
    <w:rsid w:val="008D6D0E"/>
    <w:rsid w:val="008D6F90"/>
    <w:rsid w:val="008D722D"/>
    <w:rsid w:val="008D72A4"/>
    <w:rsid w:val="008D72D8"/>
    <w:rsid w:val="008D732B"/>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29B3"/>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A7A"/>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ACA"/>
    <w:rsid w:val="00952D41"/>
    <w:rsid w:val="009537A7"/>
    <w:rsid w:val="00953B1F"/>
    <w:rsid w:val="009542C9"/>
    <w:rsid w:val="0095466F"/>
    <w:rsid w:val="009548C3"/>
    <w:rsid w:val="00954DF8"/>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5A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22"/>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677"/>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868"/>
    <w:rsid w:val="009A4E19"/>
    <w:rsid w:val="009A514C"/>
    <w:rsid w:val="009A516A"/>
    <w:rsid w:val="009A528E"/>
    <w:rsid w:val="009A6127"/>
    <w:rsid w:val="009A637B"/>
    <w:rsid w:val="009A6456"/>
    <w:rsid w:val="009A6513"/>
    <w:rsid w:val="009A6960"/>
    <w:rsid w:val="009A6BAA"/>
    <w:rsid w:val="009A6C74"/>
    <w:rsid w:val="009A6D32"/>
    <w:rsid w:val="009A7154"/>
    <w:rsid w:val="009A7857"/>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4CEC"/>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17BEE"/>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731"/>
    <w:rsid w:val="00A2583E"/>
    <w:rsid w:val="00A259E6"/>
    <w:rsid w:val="00A25A28"/>
    <w:rsid w:val="00A25E22"/>
    <w:rsid w:val="00A25F8A"/>
    <w:rsid w:val="00A261E4"/>
    <w:rsid w:val="00A267CB"/>
    <w:rsid w:val="00A26883"/>
    <w:rsid w:val="00A268BF"/>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DE1"/>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87D"/>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67BB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C89"/>
    <w:rsid w:val="00A74E04"/>
    <w:rsid w:val="00A74F6C"/>
    <w:rsid w:val="00A75124"/>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1F8E"/>
    <w:rsid w:val="00A8221B"/>
    <w:rsid w:val="00A82665"/>
    <w:rsid w:val="00A826CD"/>
    <w:rsid w:val="00A82AF4"/>
    <w:rsid w:val="00A82DA1"/>
    <w:rsid w:val="00A82DDD"/>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B03"/>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4E8C"/>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204"/>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7FC"/>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D7D0F"/>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062"/>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1BC"/>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6E9D"/>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093"/>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8A4"/>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2FD"/>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6AB"/>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906"/>
    <w:rsid w:val="00C06B3D"/>
    <w:rsid w:val="00C06BE9"/>
    <w:rsid w:val="00C070D8"/>
    <w:rsid w:val="00C07562"/>
    <w:rsid w:val="00C079D6"/>
    <w:rsid w:val="00C07A6C"/>
    <w:rsid w:val="00C07AE3"/>
    <w:rsid w:val="00C07AE4"/>
    <w:rsid w:val="00C07D3E"/>
    <w:rsid w:val="00C07FFD"/>
    <w:rsid w:val="00C10099"/>
    <w:rsid w:val="00C100EB"/>
    <w:rsid w:val="00C101BA"/>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2EE6"/>
    <w:rsid w:val="00C42FE4"/>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31"/>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BE7"/>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1AD"/>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D27"/>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3CB"/>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0E"/>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27FC4"/>
    <w:rsid w:val="00D30B60"/>
    <w:rsid w:val="00D30C46"/>
    <w:rsid w:val="00D30DBA"/>
    <w:rsid w:val="00D30F15"/>
    <w:rsid w:val="00D30FC7"/>
    <w:rsid w:val="00D31B9F"/>
    <w:rsid w:val="00D31BEA"/>
    <w:rsid w:val="00D32120"/>
    <w:rsid w:val="00D32211"/>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456"/>
    <w:rsid w:val="00D56544"/>
    <w:rsid w:val="00D56561"/>
    <w:rsid w:val="00D5660E"/>
    <w:rsid w:val="00D56C31"/>
    <w:rsid w:val="00D56D65"/>
    <w:rsid w:val="00D56E86"/>
    <w:rsid w:val="00D572B2"/>
    <w:rsid w:val="00D576F3"/>
    <w:rsid w:val="00D578C5"/>
    <w:rsid w:val="00D57927"/>
    <w:rsid w:val="00D57973"/>
    <w:rsid w:val="00D57C20"/>
    <w:rsid w:val="00D57C5C"/>
    <w:rsid w:val="00D57F0A"/>
    <w:rsid w:val="00D57F9F"/>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193"/>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E51"/>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55B"/>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3"/>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7EB"/>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C7"/>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0E5"/>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498"/>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A74"/>
    <w:rsid w:val="00F27E0C"/>
    <w:rsid w:val="00F27EF4"/>
    <w:rsid w:val="00F3002F"/>
    <w:rsid w:val="00F30031"/>
    <w:rsid w:val="00F30353"/>
    <w:rsid w:val="00F308C0"/>
    <w:rsid w:val="00F30BE8"/>
    <w:rsid w:val="00F30D0A"/>
    <w:rsid w:val="00F30EE4"/>
    <w:rsid w:val="00F30F68"/>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027"/>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34B"/>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86"/>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3E5"/>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89C"/>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1ED"/>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00E5"/>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uiPriority w:val="99"/>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4940169">
      <w:bodyDiv w:val="1"/>
      <w:marLeft w:val="0"/>
      <w:marRight w:val="0"/>
      <w:marTop w:val="0"/>
      <w:marBottom w:val="0"/>
      <w:divBdr>
        <w:top w:val="none" w:sz="0" w:space="0" w:color="auto"/>
        <w:left w:val="none" w:sz="0" w:space="0" w:color="auto"/>
        <w:bottom w:val="none" w:sz="0" w:space="0" w:color="auto"/>
        <w:right w:val="none" w:sz="0" w:space="0" w:color="auto"/>
      </w:divBdr>
      <w:divsChild>
        <w:div w:id="1852907838">
          <w:marLeft w:val="0"/>
          <w:marRight w:val="0"/>
          <w:marTop w:val="0"/>
          <w:marBottom w:val="0"/>
          <w:divBdr>
            <w:top w:val="none" w:sz="0" w:space="0" w:color="auto"/>
            <w:left w:val="none" w:sz="0" w:space="0" w:color="auto"/>
            <w:bottom w:val="none" w:sz="0" w:space="0" w:color="auto"/>
            <w:right w:val="none" w:sz="0" w:space="0" w:color="auto"/>
          </w:divBdr>
        </w:div>
        <w:div w:id="1327516252">
          <w:marLeft w:val="0"/>
          <w:marRight w:val="0"/>
          <w:marTop w:val="0"/>
          <w:marBottom w:val="0"/>
          <w:divBdr>
            <w:top w:val="none" w:sz="0" w:space="0" w:color="auto"/>
            <w:left w:val="none" w:sz="0" w:space="0" w:color="auto"/>
            <w:bottom w:val="none" w:sz="0" w:space="0" w:color="auto"/>
            <w:right w:val="none" w:sz="0" w:space="0" w:color="auto"/>
          </w:divBdr>
        </w:div>
        <w:div w:id="1280913324">
          <w:marLeft w:val="0"/>
          <w:marRight w:val="0"/>
          <w:marTop w:val="0"/>
          <w:marBottom w:val="0"/>
          <w:divBdr>
            <w:top w:val="none" w:sz="0" w:space="0" w:color="auto"/>
            <w:left w:val="none" w:sz="0" w:space="0" w:color="auto"/>
            <w:bottom w:val="none" w:sz="0" w:space="0" w:color="auto"/>
            <w:right w:val="none" w:sz="0" w:space="0" w:color="auto"/>
          </w:divBdr>
        </w:div>
        <w:div w:id="1905677747">
          <w:marLeft w:val="0"/>
          <w:marRight w:val="0"/>
          <w:marTop w:val="0"/>
          <w:marBottom w:val="0"/>
          <w:divBdr>
            <w:top w:val="none" w:sz="0" w:space="0" w:color="auto"/>
            <w:left w:val="none" w:sz="0" w:space="0" w:color="auto"/>
            <w:bottom w:val="none" w:sz="0" w:space="0" w:color="auto"/>
            <w:right w:val="none" w:sz="0" w:space="0" w:color="auto"/>
          </w:divBdr>
        </w:div>
        <w:div w:id="1286620532">
          <w:marLeft w:val="0"/>
          <w:marRight w:val="0"/>
          <w:marTop w:val="0"/>
          <w:marBottom w:val="0"/>
          <w:divBdr>
            <w:top w:val="none" w:sz="0" w:space="0" w:color="auto"/>
            <w:left w:val="none" w:sz="0" w:space="0" w:color="auto"/>
            <w:bottom w:val="none" w:sz="0" w:space="0" w:color="auto"/>
            <w:right w:val="none" w:sz="0" w:space="0" w:color="auto"/>
          </w:divBdr>
        </w:div>
        <w:div w:id="129639645">
          <w:marLeft w:val="0"/>
          <w:marRight w:val="0"/>
          <w:marTop w:val="0"/>
          <w:marBottom w:val="0"/>
          <w:divBdr>
            <w:top w:val="none" w:sz="0" w:space="0" w:color="auto"/>
            <w:left w:val="none" w:sz="0" w:space="0" w:color="auto"/>
            <w:bottom w:val="none" w:sz="0" w:space="0" w:color="auto"/>
            <w:right w:val="none" w:sz="0" w:space="0" w:color="auto"/>
          </w:divBdr>
        </w:div>
        <w:div w:id="962468600">
          <w:marLeft w:val="0"/>
          <w:marRight w:val="0"/>
          <w:marTop w:val="0"/>
          <w:marBottom w:val="0"/>
          <w:divBdr>
            <w:top w:val="none" w:sz="0" w:space="0" w:color="auto"/>
            <w:left w:val="none" w:sz="0" w:space="0" w:color="auto"/>
            <w:bottom w:val="none" w:sz="0" w:space="0" w:color="auto"/>
            <w:right w:val="none" w:sz="0" w:space="0" w:color="auto"/>
          </w:divBdr>
        </w:div>
        <w:div w:id="942347139">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32784755">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4.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671</TotalTime>
  <Pages>3</Pages>
  <Words>1265</Words>
  <Characters>7214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8463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75</cp:revision>
  <cp:lastPrinted>2019-08-16T17:50:00Z</cp:lastPrinted>
  <dcterms:created xsi:type="dcterms:W3CDTF">2020-10-19T02:15:00Z</dcterms:created>
  <dcterms:modified xsi:type="dcterms:W3CDTF">2021-04-06T09:15:00Z</dcterms:modified>
  <cp:category/>
</cp:coreProperties>
</file>